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1"/>
        <w:shd w:val="clear" w:color="auto" w:fill="E6E6E6"/>
        <w:overflowPunct w:val="0"/>
        <w:spacing w:after="120" w:line="276" w:lineRule="auto"/>
        <w:ind w:right="-17"/>
        <w:jc w:val="center"/>
        <w:rPr>
          <w:rFonts w:hint="default" w:ascii="Arial" w:hAnsi="Arial" w:cs="Arial"/>
          <w:b/>
          <w:bCs/>
          <w:color w:val="000000"/>
          <w:sz w:val="21"/>
          <w:szCs w:val="21"/>
          <w:lang w:val="pt-BR"/>
        </w:rPr>
      </w:pPr>
      <w:r>
        <w:rPr>
          <w:rFonts w:hint="default" w:ascii="Arial" w:hAnsi="Arial" w:cs="Arial"/>
          <w:b/>
          <w:bCs/>
          <w:color w:val="000000"/>
          <w:sz w:val="21"/>
          <w:szCs w:val="21"/>
          <w:lang w:val="pt-BR"/>
        </w:rPr>
        <w:t>EDITAL</w:t>
      </w:r>
    </w:p>
    <w:p>
      <w:pPr>
        <w:ind w:right="-15"/>
        <w:jc w:val="center"/>
        <w:rPr>
          <w:rFonts w:hint="default" w:ascii="Arial" w:hAnsi="Arial" w:cs="Arial"/>
          <w:b/>
          <w:bCs/>
          <w:color w:val="000000"/>
          <w:sz w:val="21"/>
          <w:szCs w:val="21"/>
        </w:rPr>
      </w:pPr>
    </w:p>
    <w:p>
      <w:pPr>
        <w:jc w:val="center"/>
        <w:rPr>
          <w:rFonts w:hint="default" w:ascii="Arial" w:hAnsi="Arial" w:cs="Arial"/>
          <w:color w:val="000000"/>
          <w:sz w:val="21"/>
          <w:szCs w:val="21"/>
        </w:rPr>
      </w:pPr>
      <w:r>
        <w:rPr>
          <w:rFonts w:hint="default" w:ascii="Arial" w:hAnsi="Arial" w:cs="Arial"/>
          <w:b/>
          <w:bCs/>
          <w:color w:val="000000"/>
          <w:sz w:val="21"/>
          <w:szCs w:val="21"/>
        </w:rPr>
        <w:t>PREGÃO ELETRÔNICO (</w:t>
      </w:r>
      <w:r>
        <w:rPr>
          <w:rFonts w:hint="default" w:ascii="Arial" w:hAnsi="Arial" w:cs="Arial"/>
          <w:b/>
          <w:bCs/>
          <w:color w:val="000000"/>
          <w:sz w:val="21"/>
          <w:szCs w:val="21"/>
          <w:lang w:val="pt-BR"/>
        </w:rPr>
        <w:t>Convencional</w:t>
      </w:r>
      <w:r>
        <w:rPr>
          <w:rFonts w:hint="default" w:ascii="Arial" w:hAnsi="Arial" w:cs="Arial"/>
          <w:b/>
          <w:bCs/>
          <w:color w:val="000000"/>
          <w:sz w:val="21"/>
          <w:szCs w:val="21"/>
        </w:rPr>
        <w:t xml:space="preserve">) </w:t>
      </w:r>
      <w:r>
        <w:rPr>
          <w:rFonts w:hint="default" w:ascii="Arial" w:hAnsi="Arial" w:cs="Arial"/>
          <w:b/>
          <w:bCs/>
          <w:color w:val="000000"/>
          <w:sz w:val="21"/>
          <w:szCs w:val="21"/>
          <w:lang w:val="pt-BR"/>
        </w:rPr>
        <w:t xml:space="preserve">n.° </w:t>
      </w:r>
      <w:r>
        <w:rPr>
          <w:rFonts w:hint="default" w:ascii="Arial" w:hAnsi="Arial" w:cs="Arial"/>
          <w:b/>
          <w:bCs/>
          <w:color w:val="FF0000"/>
          <w:sz w:val="21"/>
          <w:szCs w:val="21"/>
          <w:lang w:val="pt-BR"/>
        </w:rPr>
        <w:t>13</w:t>
      </w:r>
      <w:r>
        <w:rPr>
          <w:rFonts w:hint="default" w:ascii="Arial" w:hAnsi="Arial" w:cs="Arial"/>
          <w:b/>
          <w:bCs/>
          <w:color w:val="FF0000"/>
          <w:sz w:val="21"/>
          <w:szCs w:val="21"/>
        </w:rPr>
        <w:t>/2020</w:t>
      </w:r>
    </w:p>
    <w:p>
      <w:pPr>
        <w:jc w:val="center"/>
        <w:rPr>
          <w:rFonts w:hint="default" w:ascii="Arial" w:hAnsi="Arial" w:cs="Arial"/>
          <w:color w:val="000000"/>
          <w:sz w:val="21"/>
          <w:szCs w:val="21"/>
        </w:rPr>
      </w:pPr>
      <w:r>
        <w:rPr>
          <w:rFonts w:hint="default" w:ascii="Arial" w:hAnsi="Arial" w:cs="Arial"/>
          <w:color w:val="000000"/>
          <w:sz w:val="21"/>
          <w:szCs w:val="21"/>
        </w:rPr>
        <w:t xml:space="preserve">(Processo Administrativo </w:t>
      </w:r>
      <w:r>
        <w:rPr>
          <w:rFonts w:hint="default" w:ascii="Arial" w:hAnsi="Arial" w:cs="Arial"/>
          <w:color w:val="000000"/>
          <w:sz w:val="21"/>
          <w:szCs w:val="21"/>
          <w:lang w:val="pt-BR"/>
        </w:rPr>
        <w:t>n.°</w:t>
      </w:r>
      <w:r>
        <w:rPr>
          <w:rFonts w:hint="default" w:ascii="Arial" w:hAnsi="Arial" w:cs="Arial"/>
          <w:color w:val="000000"/>
          <w:sz w:val="21"/>
          <w:szCs w:val="21"/>
        </w:rPr>
        <w:t xml:space="preserve"> </w:t>
      </w:r>
      <w:r>
        <w:rPr>
          <w:rFonts w:hint="default" w:ascii="Arial" w:hAnsi="Arial"/>
          <w:color w:val="000000"/>
          <w:sz w:val="21"/>
          <w:szCs w:val="21"/>
        </w:rPr>
        <w:t>23381.006775.2020-17</w:t>
      </w:r>
      <w:r>
        <w:rPr>
          <w:rFonts w:hint="default" w:ascii="Arial" w:hAnsi="Arial" w:cs="Arial"/>
          <w:color w:val="000000"/>
          <w:sz w:val="21"/>
          <w:szCs w:val="21"/>
        </w:rPr>
        <w:t>)</w:t>
      </w:r>
    </w:p>
    <w:p>
      <w:pPr>
        <w:jc w:val="both"/>
        <w:rPr>
          <w:rFonts w:hint="default" w:ascii="Arial" w:hAnsi="Arial" w:cs="Arial"/>
          <w:color w:val="000000"/>
          <w:sz w:val="21"/>
          <w:szCs w:val="21"/>
        </w:rPr>
      </w:pPr>
    </w:p>
    <w:p>
      <w:pPr>
        <w:jc w:val="both"/>
        <w:rPr>
          <w:rFonts w:hint="default" w:ascii="Arial" w:hAnsi="Arial" w:cs="Arial"/>
          <w:color w:val="000000"/>
          <w:sz w:val="21"/>
          <w:szCs w:val="21"/>
        </w:rPr>
      </w:pPr>
    </w:p>
    <w:p>
      <w:pPr>
        <w:jc w:val="both"/>
        <w:rPr>
          <w:rFonts w:hint="default" w:ascii="Arial" w:hAnsi="Arial" w:eastAsia="Times New Roman" w:cs="Arial"/>
          <w:sz w:val="21"/>
          <w:szCs w:val="21"/>
        </w:rPr>
      </w:pPr>
      <w:r>
        <w:rPr>
          <w:rFonts w:hint="default" w:ascii="Arial" w:hAnsi="Arial" w:cs="Arial"/>
          <w:color w:val="000000"/>
          <w:sz w:val="21"/>
          <w:szCs w:val="21"/>
        </w:rPr>
        <w:t xml:space="preserve">Torna-se público que o(a) Instituto Federal de Educação, Ciência e Tecnologia da Paraíba – Reitoria, por meio da Diretoria de Compras, Contratos e Licitações, sediada à Avenida Almirante Barroso, </w:t>
      </w:r>
      <w:r>
        <w:rPr>
          <w:rFonts w:hint="default" w:ascii="Arial" w:hAnsi="Arial" w:cs="Arial"/>
          <w:color w:val="000000"/>
          <w:sz w:val="21"/>
          <w:szCs w:val="21"/>
          <w:lang w:val="pt-BR"/>
        </w:rPr>
        <w:t>n.°</w:t>
      </w:r>
      <w:r>
        <w:rPr>
          <w:rFonts w:hint="default" w:ascii="Arial" w:hAnsi="Arial" w:cs="Arial"/>
          <w:color w:val="000000"/>
          <w:sz w:val="21"/>
          <w:szCs w:val="21"/>
        </w:rPr>
        <w:t>° 1077, Centro, João Pessoa – Paraíba - CEP: 58.013-120, realizará licitação</w:t>
      </w:r>
      <w:r>
        <w:rPr>
          <w:rFonts w:hint="default" w:ascii="Arial" w:hAnsi="Arial" w:cs="Arial"/>
          <w:color w:val="auto"/>
          <w:sz w:val="21"/>
          <w:szCs w:val="21"/>
          <w:highlight w:val="none"/>
        </w:rPr>
        <w:t xml:space="preserve">, para registro de preços, </w:t>
      </w:r>
      <w:r>
        <w:rPr>
          <w:rFonts w:hint="default" w:ascii="Arial" w:hAnsi="Arial" w:cs="Arial"/>
          <w:color w:val="000000"/>
          <w:sz w:val="21"/>
          <w:szCs w:val="21"/>
        </w:rPr>
        <w:t xml:space="preserve">na modalidade </w:t>
      </w:r>
      <w:r>
        <w:rPr>
          <w:rFonts w:hint="default" w:ascii="Arial" w:hAnsi="Arial" w:cs="Arial"/>
          <w:bCs/>
          <w:color w:val="000000"/>
          <w:sz w:val="21"/>
          <w:szCs w:val="21"/>
        </w:rPr>
        <w:t xml:space="preserve">PREGÃO, </w:t>
      </w:r>
      <w:r>
        <w:rPr>
          <w:rFonts w:hint="default" w:ascii="Arial" w:hAnsi="Arial" w:cs="Arial"/>
          <w:color w:val="000000"/>
          <w:sz w:val="21"/>
          <w:szCs w:val="21"/>
        </w:rPr>
        <w:t>na forma</w:t>
      </w:r>
      <w:r>
        <w:rPr>
          <w:rFonts w:hint="default" w:ascii="Arial" w:hAnsi="Arial" w:cs="Arial"/>
          <w:bCs/>
          <w:color w:val="000000"/>
          <w:sz w:val="21"/>
          <w:szCs w:val="21"/>
        </w:rPr>
        <w:t xml:space="preserve"> ELETRÔNICA, com critério de julgamento</w:t>
      </w:r>
      <w:r>
        <w:rPr>
          <w:rFonts w:hint="default" w:ascii="Arial" w:hAnsi="Arial" w:cs="Arial"/>
          <w:bCs/>
          <w:color w:val="000000"/>
          <w:sz w:val="21"/>
          <w:szCs w:val="21"/>
          <w:lang w:val="pt-BR"/>
        </w:rPr>
        <w:t xml:space="preserve"> menor preço por item</w:t>
      </w:r>
      <w:r>
        <w:rPr>
          <w:rFonts w:hint="default" w:ascii="Arial" w:hAnsi="Arial" w:cs="Arial"/>
          <w:bCs/>
          <w:color w:val="auto"/>
          <w:sz w:val="21"/>
          <w:szCs w:val="21"/>
          <w:highlight w:val="none"/>
        </w:rPr>
        <w:t>,</w:t>
      </w:r>
      <w:r>
        <w:rPr>
          <w:rFonts w:hint="default" w:ascii="Arial" w:hAnsi="Arial" w:cs="Arial"/>
          <w:color w:val="auto"/>
          <w:sz w:val="21"/>
          <w:szCs w:val="21"/>
          <w:highlight w:val="none"/>
        </w:rPr>
        <w:t xml:space="preserve"> </w:t>
      </w:r>
      <w:r>
        <w:rPr>
          <w:rFonts w:hint="default" w:ascii="Arial" w:hAnsi="Arial"/>
          <w:color w:val="auto"/>
          <w:sz w:val="21"/>
          <w:szCs w:val="21"/>
          <w:highlight w:val="none"/>
        </w:rPr>
        <w:t>nos termos da Lei n</w:t>
      </w:r>
      <w:r>
        <w:rPr>
          <w:rFonts w:hint="default" w:ascii="Arial" w:hAnsi="Arial"/>
          <w:color w:val="auto"/>
          <w:sz w:val="21"/>
          <w:szCs w:val="21"/>
          <w:highlight w:val="none"/>
          <w:lang w:val="pt-BR"/>
        </w:rPr>
        <w:t>.</w:t>
      </w:r>
      <w:r>
        <w:rPr>
          <w:rFonts w:hint="default" w:ascii="Arial" w:hAnsi="Arial"/>
          <w:color w:val="auto"/>
          <w:sz w:val="21"/>
          <w:szCs w:val="21"/>
          <w:highlight w:val="none"/>
        </w:rPr>
        <w:t>º 10.520, de 17 de julho de 2002, do Decreto nº 10.024, de 20 de setembro de 2019, do Decreto  n</w:t>
      </w:r>
      <w:r>
        <w:rPr>
          <w:rFonts w:hint="default" w:ascii="Arial" w:hAnsi="Arial"/>
          <w:color w:val="auto"/>
          <w:sz w:val="21"/>
          <w:szCs w:val="21"/>
          <w:highlight w:val="none"/>
          <w:lang w:val="pt-BR"/>
        </w:rPr>
        <w:t>.</w:t>
      </w:r>
      <w:r>
        <w:rPr>
          <w:rFonts w:hint="default" w:ascii="Arial" w:hAnsi="Arial"/>
          <w:color w:val="auto"/>
          <w:sz w:val="21"/>
          <w:szCs w:val="21"/>
          <w:highlight w:val="none"/>
        </w:rPr>
        <w:t>º 7.746, de 05 de junho de 2012, da Instrução Normativa SLTI/MP  n</w:t>
      </w:r>
      <w:r>
        <w:rPr>
          <w:rFonts w:hint="default" w:ascii="Arial" w:hAnsi="Arial"/>
          <w:color w:val="auto"/>
          <w:sz w:val="21"/>
          <w:szCs w:val="21"/>
          <w:highlight w:val="none"/>
          <w:lang w:val="pt-BR"/>
        </w:rPr>
        <w:t>.</w:t>
      </w:r>
      <w:r>
        <w:rPr>
          <w:rFonts w:hint="default" w:ascii="Arial" w:hAnsi="Arial"/>
          <w:color w:val="auto"/>
          <w:sz w:val="21"/>
          <w:szCs w:val="21"/>
          <w:highlight w:val="none"/>
        </w:rPr>
        <w:t>º 01, de 19 de janeiro de 2010, da Instrução Normativa SEGES/MP n</w:t>
      </w:r>
      <w:r>
        <w:rPr>
          <w:rFonts w:hint="default" w:ascii="Arial" w:hAnsi="Arial"/>
          <w:color w:val="auto"/>
          <w:sz w:val="21"/>
          <w:szCs w:val="21"/>
          <w:highlight w:val="none"/>
          <w:lang w:val="pt-BR"/>
        </w:rPr>
        <w:t>.</w:t>
      </w:r>
      <w:r>
        <w:rPr>
          <w:rFonts w:hint="default" w:ascii="Arial" w:hAnsi="Arial"/>
          <w:color w:val="auto"/>
          <w:sz w:val="21"/>
          <w:szCs w:val="21"/>
          <w:highlight w:val="none"/>
        </w:rPr>
        <w:t xml:space="preserve">º 03, de 26 de abril, de 2018, da Lei Complementar </w:t>
      </w:r>
      <w:r>
        <w:rPr>
          <w:rFonts w:hint="default" w:ascii="Arial" w:hAnsi="Arial"/>
          <w:color w:val="auto"/>
          <w:sz w:val="21"/>
          <w:szCs w:val="21"/>
          <w:highlight w:val="none"/>
          <w:lang w:val="pt-BR"/>
        </w:rPr>
        <w:t>n.°</w:t>
      </w:r>
      <w:r>
        <w:rPr>
          <w:rFonts w:hint="default" w:ascii="Arial" w:hAnsi="Arial"/>
          <w:color w:val="auto"/>
          <w:sz w:val="21"/>
          <w:szCs w:val="21"/>
          <w:highlight w:val="none"/>
        </w:rPr>
        <w:t xml:space="preserve"> 123, de 14 de dezembro de 2006, da Lei n</w:t>
      </w:r>
      <w:r>
        <w:rPr>
          <w:rFonts w:hint="default" w:ascii="Arial" w:hAnsi="Arial"/>
          <w:color w:val="auto"/>
          <w:sz w:val="21"/>
          <w:szCs w:val="21"/>
          <w:highlight w:val="none"/>
          <w:lang w:val="pt-BR"/>
        </w:rPr>
        <w:t>.</w:t>
      </w:r>
      <w:r>
        <w:rPr>
          <w:rFonts w:hint="default" w:ascii="Arial" w:hAnsi="Arial"/>
          <w:color w:val="auto"/>
          <w:sz w:val="21"/>
          <w:szCs w:val="21"/>
          <w:highlight w:val="none"/>
        </w:rPr>
        <w:t xml:space="preserve">º 11.488, de 15 de junho de 2007, do Decreto </w:t>
      </w:r>
      <w:r>
        <w:rPr>
          <w:rFonts w:hint="default" w:ascii="Arial" w:hAnsi="Arial"/>
          <w:color w:val="auto"/>
          <w:sz w:val="21"/>
          <w:szCs w:val="21"/>
          <w:highlight w:val="none"/>
          <w:lang w:val="pt-BR"/>
        </w:rPr>
        <w:t>n.°</w:t>
      </w:r>
      <w:r>
        <w:rPr>
          <w:rFonts w:hint="default" w:ascii="Arial" w:hAnsi="Arial"/>
          <w:color w:val="auto"/>
          <w:sz w:val="21"/>
          <w:szCs w:val="21"/>
          <w:highlight w:val="none"/>
        </w:rPr>
        <w:t xml:space="preserve"> 8.538, de 06 de outubro de 2015, aplicando-se, subsidiariamente, a Lei n</w:t>
      </w:r>
      <w:r>
        <w:rPr>
          <w:rFonts w:hint="default" w:ascii="Arial" w:hAnsi="Arial"/>
          <w:color w:val="auto"/>
          <w:sz w:val="21"/>
          <w:szCs w:val="21"/>
          <w:highlight w:val="none"/>
          <w:lang w:val="pt-BR"/>
        </w:rPr>
        <w:t>.</w:t>
      </w:r>
      <w:r>
        <w:rPr>
          <w:rFonts w:hint="default" w:ascii="Arial" w:hAnsi="Arial"/>
          <w:color w:val="auto"/>
          <w:sz w:val="21"/>
          <w:szCs w:val="21"/>
          <w:highlight w:val="none"/>
        </w:rPr>
        <w:t xml:space="preserve">º 8.666, de 21 de junho de 1993, e as exigências estabelecidas neste Edital. </w:t>
      </w:r>
      <w:r>
        <w:rPr>
          <w:rFonts w:hint="default" w:ascii="Arial" w:hAnsi="Arial" w:cs="Arial"/>
          <w:color w:val="000000"/>
          <w:sz w:val="21"/>
          <w:szCs w:val="21"/>
        </w:rPr>
        <w:t xml:space="preserve"> </w:t>
      </w:r>
    </w:p>
    <w:p>
      <w:pPr>
        <w:spacing w:line="276" w:lineRule="auto"/>
        <w:jc w:val="both"/>
        <w:rPr>
          <w:rFonts w:hint="default" w:ascii="Arial" w:hAnsi="Arial" w:cs="Arial"/>
          <w:color w:val="000000"/>
          <w:sz w:val="21"/>
          <w:szCs w:val="21"/>
        </w:rPr>
      </w:pPr>
    </w:p>
    <w:p>
      <w:pPr>
        <w:spacing w:line="276" w:lineRule="auto"/>
        <w:jc w:val="both"/>
        <w:rPr>
          <w:rFonts w:hint="default" w:ascii="Arial" w:hAnsi="Arial" w:cs="Arial"/>
          <w:color w:val="000000"/>
          <w:sz w:val="21"/>
          <w:szCs w:val="21"/>
        </w:rPr>
      </w:pPr>
    </w:p>
    <w:p>
      <w:pPr>
        <w:spacing w:after="0"/>
        <w:jc w:val="both"/>
        <w:rPr>
          <w:rFonts w:hint="default" w:ascii="Arial" w:hAnsi="Arial" w:cs="Arial"/>
          <w:sz w:val="21"/>
          <w:szCs w:val="21"/>
        </w:rPr>
      </w:pPr>
      <w:r>
        <w:rPr>
          <w:rFonts w:hint="default" w:ascii="Arial" w:hAnsi="Arial" w:cs="Arial"/>
          <w:color w:val="000000" w:themeColor="text1"/>
          <w:sz w:val="21"/>
          <w:szCs w:val="21"/>
          <w14:textFill>
            <w14:solidFill>
              <w14:schemeClr w14:val="tx1"/>
            </w14:solidFill>
          </w14:textFill>
        </w:rPr>
        <w:t>Data da sessão:</w:t>
      </w:r>
      <w:r>
        <w:rPr>
          <w:rFonts w:hint="default" w:ascii="Arial" w:hAnsi="Arial" w:cs="Arial"/>
          <w:color w:val="000000" w:themeColor="text1"/>
          <w:sz w:val="21"/>
          <w:szCs w:val="21"/>
          <w:lang w:val="pt-BR"/>
          <w14:textFill>
            <w14:solidFill>
              <w14:schemeClr w14:val="tx1"/>
            </w14:solidFill>
          </w14:textFill>
        </w:rPr>
        <w:t xml:space="preserve"> </w:t>
      </w:r>
      <w:r>
        <w:rPr>
          <w:rFonts w:hint="default" w:ascii="Arial" w:hAnsi="Arial" w:cs="Arial"/>
          <w:b/>
          <w:bCs/>
          <w:color w:val="FF0000"/>
          <w:sz w:val="21"/>
          <w:szCs w:val="21"/>
          <w:lang w:val="pt-BR"/>
        </w:rPr>
        <w:t xml:space="preserve">25 </w:t>
      </w:r>
      <w:r>
        <w:rPr>
          <w:rFonts w:hint="default" w:ascii="Arial" w:hAnsi="Arial" w:cs="Arial"/>
          <w:b/>
          <w:bCs/>
          <w:color w:val="FF0000"/>
          <w:sz w:val="21"/>
          <w:szCs w:val="21"/>
        </w:rPr>
        <w:t>/</w:t>
      </w:r>
      <w:r>
        <w:rPr>
          <w:rFonts w:hint="default" w:ascii="Arial" w:hAnsi="Arial" w:cs="Arial"/>
          <w:b/>
          <w:bCs/>
          <w:color w:val="FF0000"/>
          <w:sz w:val="21"/>
          <w:szCs w:val="21"/>
          <w:lang w:val="pt-BR"/>
        </w:rPr>
        <w:t xml:space="preserve"> 11 </w:t>
      </w:r>
      <w:r>
        <w:rPr>
          <w:rFonts w:hint="default" w:ascii="Arial" w:hAnsi="Arial" w:cs="Arial"/>
          <w:b/>
          <w:bCs/>
          <w:color w:val="FF0000"/>
          <w:sz w:val="21"/>
          <w:szCs w:val="21"/>
        </w:rPr>
        <w:t>/</w:t>
      </w:r>
      <w:r>
        <w:rPr>
          <w:rFonts w:hint="default" w:ascii="Arial" w:hAnsi="Arial" w:cs="Arial"/>
          <w:b/>
          <w:bCs/>
          <w:color w:val="FF0000"/>
          <w:sz w:val="21"/>
          <w:szCs w:val="21"/>
          <w:lang w:val="pt-BR"/>
        </w:rPr>
        <w:t xml:space="preserve"> </w:t>
      </w:r>
      <w:r>
        <w:rPr>
          <w:rFonts w:hint="default" w:ascii="Arial" w:hAnsi="Arial" w:cs="Arial"/>
          <w:b/>
          <w:bCs/>
          <w:color w:val="FF0000"/>
          <w:sz w:val="21"/>
          <w:szCs w:val="21"/>
        </w:rPr>
        <w:t>2020</w:t>
      </w:r>
    </w:p>
    <w:p>
      <w:pPr>
        <w:spacing w:after="0"/>
        <w:jc w:val="both"/>
        <w:rPr>
          <w:rFonts w:hint="default" w:ascii="Arial" w:hAnsi="Arial" w:cs="Arial"/>
          <w:sz w:val="21"/>
          <w:szCs w:val="21"/>
        </w:rPr>
      </w:pPr>
      <w:r>
        <w:rPr>
          <w:rFonts w:hint="default" w:ascii="Arial" w:hAnsi="Arial" w:cs="Arial"/>
          <w:color w:val="000000" w:themeColor="text1"/>
          <w:sz w:val="21"/>
          <w:szCs w:val="21"/>
          <w14:textFill>
            <w14:solidFill>
              <w14:schemeClr w14:val="tx1"/>
            </w14:solidFill>
          </w14:textFill>
        </w:rPr>
        <w:t xml:space="preserve">Horário: </w:t>
      </w:r>
      <w:r>
        <w:rPr>
          <w:rFonts w:hint="default" w:ascii="Arial" w:hAnsi="Arial" w:cs="Arial"/>
          <w:b/>
          <w:bCs/>
          <w:color w:val="FF0000"/>
          <w:sz w:val="21"/>
          <w:szCs w:val="21"/>
        </w:rPr>
        <w:t>0</w:t>
      </w:r>
      <w:r>
        <w:rPr>
          <w:rFonts w:hint="default" w:ascii="Arial" w:hAnsi="Arial" w:cs="Arial"/>
          <w:b/>
          <w:bCs/>
          <w:color w:val="FF0000"/>
          <w:sz w:val="21"/>
          <w:szCs w:val="21"/>
          <w:lang w:val="pt-BR"/>
        </w:rPr>
        <w:t>9</w:t>
      </w:r>
      <w:r>
        <w:rPr>
          <w:rFonts w:hint="default" w:ascii="Arial" w:hAnsi="Arial" w:cs="Arial"/>
          <w:b/>
          <w:bCs/>
          <w:color w:val="FF0000"/>
          <w:sz w:val="21"/>
          <w:szCs w:val="21"/>
        </w:rPr>
        <w:t>:00 (horário Oficial de Brasília - DF)</w:t>
      </w:r>
    </w:p>
    <w:p>
      <w:pPr>
        <w:spacing w:after="0"/>
        <w:jc w:val="both"/>
        <w:rPr>
          <w:rFonts w:hint="default" w:ascii="Arial" w:hAnsi="Arial" w:cs="Arial"/>
          <w:sz w:val="21"/>
          <w:szCs w:val="21"/>
        </w:rPr>
      </w:pPr>
      <w:r>
        <w:rPr>
          <w:rFonts w:hint="default" w:ascii="Arial" w:hAnsi="Arial" w:cs="Arial"/>
          <w:color w:val="000000" w:themeColor="text1"/>
          <w:sz w:val="21"/>
          <w:szCs w:val="21"/>
          <w14:textFill>
            <w14:solidFill>
              <w14:schemeClr w14:val="tx1"/>
            </w14:solidFill>
          </w14:textFill>
        </w:rPr>
        <w:t xml:space="preserve">Local: Portal de Compras do Governo Federal – </w:t>
      </w:r>
      <w:r>
        <w:rPr>
          <w:rFonts w:hint="default" w:ascii="Arial" w:hAnsi="Arial" w:cs="Arial"/>
          <w:sz w:val="21"/>
          <w:szCs w:val="21"/>
        </w:rPr>
        <w:fldChar w:fldCharType="begin"/>
      </w:r>
      <w:r>
        <w:rPr>
          <w:rFonts w:hint="default" w:ascii="Arial" w:hAnsi="Arial" w:cs="Arial"/>
          <w:sz w:val="21"/>
          <w:szCs w:val="21"/>
        </w:rPr>
        <w:instrText xml:space="preserve"> HYPERLINK "http://www.comprasgovernamentais.gov.br/" \h </w:instrText>
      </w:r>
      <w:r>
        <w:rPr>
          <w:rFonts w:hint="default" w:ascii="Arial" w:hAnsi="Arial" w:cs="Arial"/>
          <w:sz w:val="21"/>
          <w:szCs w:val="21"/>
        </w:rPr>
        <w:fldChar w:fldCharType="separate"/>
      </w:r>
      <w:r>
        <w:rPr>
          <w:rStyle w:val="62"/>
          <w:rFonts w:hint="default" w:ascii="Arial" w:hAnsi="Arial" w:cs="Arial"/>
          <w:sz w:val="21"/>
          <w:szCs w:val="21"/>
        </w:rPr>
        <w:t>www.comprasgovernamentais.gov.br</w:t>
      </w:r>
      <w:r>
        <w:rPr>
          <w:rStyle w:val="62"/>
          <w:rFonts w:hint="default" w:ascii="Arial" w:hAnsi="Arial" w:cs="Arial"/>
          <w:sz w:val="21"/>
          <w:szCs w:val="21"/>
        </w:rPr>
        <w:fldChar w:fldCharType="end"/>
      </w:r>
      <w:r>
        <w:rPr>
          <w:rFonts w:hint="default" w:ascii="Arial" w:hAnsi="Arial" w:cs="Arial"/>
          <w:color w:val="000000" w:themeColor="text1"/>
          <w:sz w:val="21"/>
          <w:szCs w:val="21"/>
          <w14:textFill>
            <w14:solidFill>
              <w14:schemeClr w14:val="tx1"/>
            </w14:solidFill>
          </w14:textFill>
        </w:rPr>
        <w:t xml:space="preserve"> </w:t>
      </w:r>
    </w:p>
    <w:p>
      <w:pPr>
        <w:spacing w:line="276" w:lineRule="auto"/>
        <w:jc w:val="both"/>
        <w:rPr>
          <w:rFonts w:hint="default" w:ascii="Arial" w:hAnsi="Arial" w:cs="Arial"/>
          <w:color w:val="000000"/>
          <w:sz w:val="21"/>
          <w:szCs w:val="21"/>
        </w:rPr>
      </w:pPr>
    </w:p>
    <w:p>
      <w:pPr>
        <w:pStyle w:val="37"/>
        <w:rPr>
          <w:rFonts w:hint="default" w:ascii="Arial" w:hAnsi="Arial" w:cs="Arial"/>
          <w:sz w:val="21"/>
          <w:szCs w:val="21"/>
        </w:rPr>
      </w:pPr>
      <w:r>
        <w:rPr>
          <w:rFonts w:hint="default" w:ascii="Arial" w:hAnsi="Arial" w:cs="Arial"/>
          <w:sz w:val="21"/>
          <w:szCs w:val="21"/>
        </w:rPr>
        <w:t>DO OBJETO</w:t>
      </w:r>
    </w:p>
    <w:p>
      <w:pPr>
        <w:numPr>
          <w:ilvl w:val="1"/>
          <w:numId w:val="2"/>
        </w:numPr>
        <w:spacing w:before="120" w:after="120" w:line="276" w:lineRule="auto"/>
        <w:ind w:left="425" w:firstLine="0"/>
        <w:jc w:val="both"/>
        <w:rPr>
          <w:rFonts w:hint="default" w:ascii="Arial" w:hAnsi="Arial" w:cs="Arial"/>
          <w:b/>
          <w:color w:val="000000"/>
          <w:sz w:val="21"/>
          <w:szCs w:val="21"/>
        </w:rPr>
      </w:pPr>
      <w:r>
        <w:rPr>
          <w:rFonts w:hint="default" w:ascii="Arial" w:hAnsi="Arial" w:cs="Arial"/>
          <w:color w:val="000000"/>
          <w:sz w:val="21"/>
          <w:szCs w:val="21"/>
        </w:rPr>
        <w:t xml:space="preserve">O objeto da presente licitação é a escolha da proposta mais vantajosa para a </w:t>
      </w:r>
      <w:r>
        <w:rPr>
          <w:rFonts w:hint="default" w:ascii="Arial" w:hAnsi="Arial" w:cs="Arial"/>
          <w:color w:val="000000"/>
          <w:sz w:val="21"/>
          <w:szCs w:val="21"/>
          <w:lang w:val="pt-BR"/>
        </w:rPr>
        <w:t>a</w:t>
      </w:r>
      <w:r>
        <w:rPr>
          <w:rFonts w:hint="default" w:ascii="Arial" w:hAnsi="Arial"/>
          <w:color w:val="000000"/>
          <w:sz w:val="21"/>
          <w:szCs w:val="21"/>
        </w:rPr>
        <w:t>quisição de materiais e equipamentos destinados à implantação do Laboratório de Ciências da Saúde do Campus Avançado João Pessoa-Mangabeira</w:t>
      </w:r>
      <w:r>
        <w:rPr>
          <w:rFonts w:hint="default" w:ascii="Arial" w:hAnsi="Arial" w:cs="Arial"/>
          <w:color w:val="auto"/>
          <w:sz w:val="21"/>
          <w:szCs w:val="21"/>
          <w:highlight w:val="none"/>
        </w:rPr>
        <w:t>, conforme condições, quantidades e exigências estabelecidas neste Edital e seus anexos.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A licitação será dividida em itens, conforme tabela constante do Termo de Referência, facultando-se ao licitante a participação em quantos itens forem de seu interesse.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O critério de julgamento adotado será o menor preço do item, observadas as exigências contidas neste Edital e seus Anexos quanto às especificações do objeto. </w:t>
      </w:r>
    </w:p>
    <w:p>
      <w:pPr>
        <w:numPr>
          <w:ilvl w:val="0"/>
          <w:numId w:val="0"/>
        </w:numPr>
        <w:spacing w:before="120" w:after="120" w:line="276" w:lineRule="auto"/>
        <w:ind w:left="425" w:leftChars="0"/>
        <w:jc w:val="both"/>
        <w:rPr>
          <w:rFonts w:hint="default" w:ascii="Arial" w:hAnsi="Arial" w:cs="Arial"/>
          <w:color w:val="000000"/>
          <w:sz w:val="21"/>
          <w:szCs w:val="21"/>
        </w:rPr>
      </w:pPr>
    </w:p>
    <w:p>
      <w:pPr>
        <w:pStyle w:val="37"/>
        <w:rPr>
          <w:rFonts w:hint="default" w:ascii="Arial" w:hAnsi="Arial" w:cs="Arial"/>
          <w:sz w:val="21"/>
          <w:szCs w:val="21"/>
        </w:rPr>
      </w:pPr>
      <w:r>
        <w:rPr>
          <w:rFonts w:hint="default" w:ascii="Arial" w:hAnsi="Arial" w:cs="Arial"/>
          <w:sz w:val="21"/>
          <w:szCs w:val="21"/>
        </w:rPr>
        <w:t>DOS RECURSOS ORÇAMENTÁRIOS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As despesas para atender a esta licitação estão programadas em dotação orçamentária própria, prevista no orçamento da União para o exercício de 20</w:t>
      </w:r>
      <w:r>
        <w:rPr>
          <w:rFonts w:hint="default" w:ascii="Arial" w:hAnsi="Arial" w:cs="Arial"/>
          <w:color w:val="000000"/>
          <w:sz w:val="21"/>
          <w:szCs w:val="21"/>
          <w:lang w:val="pt-BR"/>
        </w:rPr>
        <w:t>20</w:t>
      </w:r>
      <w:r>
        <w:rPr>
          <w:rFonts w:hint="default" w:ascii="Arial" w:hAnsi="Arial" w:cs="Arial"/>
          <w:color w:val="000000"/>
          <w:sz w:val="21"/>
          <w:szCs w:val="21"/>
        </w:rPr>
        <w:t>, na classificação abaixo:</w:t>
      </w:r>
    </w:p>
    <w:p>
      <w:pPr>
        <w:spacing w:before="120" w:after="120" w:line="276" w:lineRule="auto"/>
        <w:ind w:leftChars="400"/>
        <w:jc w:val="both"/>
        <w:rPr>
          <w:rFonts w:hint="default" w:ascii="Arial" w:hAnsi="Arial"/>
          <w:color w:val="000000"/>
          <w:sz w:val="21"/>
          <w:szCs w:val="21"/>
          <w:lang w:eastAsia="en-US"/>
        </w:rPr>
      </w:pPr>
      <w:r>
        <w:rPr>
          <w:rFonts w:hint="default" w:ascii="Arial" w:hAnsi="Arial"/>
          <w:color w:val="000000"/>
          <w:sz w:val="21"/>
          <w:szCs w:val="21"/>
          <w:lang w:eastAsia="en-US"/>
        </w:rPr>
        <w:t>Gestão/Unidade:  26417 / 158138</w:t>
      </w:r>
    </w:p>
    <w:p>
      <w:pPr>
        <w:spacing w:before="120" w:after="120" w:line="276" w:lineRule="auto"/>
        <w:ind w:leftChars="400"/>
        <w:jc w:val="both"/>
        <w:rPr>
          <w:rFonts w:hint="default" w:ascii="Arial" w:hAnsi="Arial"/>
          <w:color w:val="000000"/>
          <w:sz w:val="21"/>
          <w:szCs w:val="21"/>
          <w:lang w:eastAsia="en-US"/>
        </w:rPr>
      </w:pPr>
      <w:r>
        <w:rPr>
          <w:rFonts w:hint="default" w:ascii="Arial" w:hAnsi="Arial"/>
          <w:color w:val="000000"/>
          <w:sz w:val="21"/>
          <w:szCs w:val="21"/>
          <w:lang w:eastAsia="en-US"/>
        </w:rPr>
        <w:t>Fonte: 8144000000 / 8100000000</w:t>
      </w:r>
    </w:p>
    <w:p>
      <w:pPr>
        <w:spacing w:before="120" w:after="120" w:line="276" w:lineRule="auto"/>
        <w:ind w:leftChars="400"/>
        <w:jc w:val="both"/>
        <w:rPr>
          <w:rFonts w:hint="default" w:ascii="Arial" w:hAnsi="Arial"/>
          <w:color w:val="000000"/>
          <w:sz w:val="21"/>
          <w:szCs w:val="21"/>
          <w:lang w:eastAsia="en-US"/>
        </w:rPr>
      </w:pPr>
      <w:r>
        <w:rPr>
          <w:rFonts w:hint="default" w:ascii="Arial" w:hAnsi="Arial"/>
          <w:color w:val="000000"/>
          <w:sz w:val="21"/>
          <w:szCs w:val="21"/>
          <w:lang w:eastAsia="en-US"/>
        </w:rPr>
        <w:t>Programa de Trabalho:  189699 / 170938</w:t>
      </w:r>
    </w:p>
    <w:p>
      <w:pPr>
        <w:spacing w:before="120" w:after="120" w:line="276" w:lineRule="auto"/>
        <w:ind w:leftChars="400"/>
        <w:jc w:val="both"/>
        <w:rPr>
          <w:rFonts w:hint="default" w:ascii="Arial" w:hAnsi="Arial"/>
          <w:color w:val="000000"/>
          <w:sz w:val="21"/>
          <w:szCs w:val="21"/>
          <w:lang w:eastAsia="en-US"/>
        </w:rPr>
      </w:pPr>
      <w:r>
        <w:rPr>
          <w:rFonts w:hint="default" w:ascii="Arial" w:hAnsi="Arial"/>
          <w:color w:val="000000"/>
          <w:sz w:val="21"/>
          <w:szCs w:val="21"/>
          <w:lang w:eastAsia="en-US"/>
        </w:rPr>
        <w:t>Elemento de Despesa:  339030 / 449052</w:t>
      </w:r>
    </w:p>
    <w:p>
      <w:pPr>
        <w:spacing w:before="120" w:after="120" w:line="276" w:lineRule="auto"/>
        <w:ind w:leftChars="400"/>
        <w:jc w:val="both"/>
        <w:rPr>
          <w:rFonts w:hint="default" w:ascii="Arial" w:hAnsi="Arial"/>
          <w:color w:val="000000"/>
          <w:sz w:val="21"/>
          <w:szCs w:val="21"/>
          <w:lang w:eastAsia="en-US"/>
        </w:rPr>
      </w:pPr>
      <w:r>
        <w:rPr>
          <w:rFonts w:hint="default" w:ascii="Arial" w:hAnsi="Arial"/>
          <w:color w:val="000000"/>
          <w:sz w:val="21"/>
          <w:szCs w:val="21"/>
          <w:lang w:eastAsia="en-US"/>
        </w:rPr>
        <w:t>PI: - / -</w:t>
      </w:r>
    </w:p>
    <w:p>
      <w:pPr>
        <w:spacing w:before="120" w:after="120" w:line="276" w:lineRule="auto"/>
        <w:ind w:leftChars="400"/>
        <w:jc w:val="both"/>
        <w:rPr>
          <w:rFonts w:hint="default" w:ascii="Arial" w:hAnsi="Arial"/>
          <w:color w:val="000000"/>
          <w:sz w:val="21"/>
          <w:szCs w:val="21"/>
          <w:lang w:eastAsia="en-US"/>
        </w:rPr>
      </w:pPr>
    </w:p>
    <w:p>
      <w:pPr>
        <w:pStyle w:val="37"/>
        <w:rPr>
          <w:rFonts w:hint="default" w:ascii="Arial" w:hAnsi="Arial" w:cs="Arial"/>
          <w:sz w:val="21"/>
          <w:szCs w:val="21"/>
        </w:rPr>
      </w:pPr>
      <w:r>
        <w:rPr>
          <w:rFonts w:hint="default" w:ascii="Arial" w:hAnsi="Arial" w:cs="Arial"/>
          <w:sz w:val="21"/>
          <w:szCs w:val="21"/>
        </w:rPr>
        <w:t>DO CREDENCIAMENTO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 Credenciamento é o nível básico do registro cadastral no SICAF, que permite a participação dos interessados na modalidade licitatória Pregão, em sua forma eletrônica.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O cadastro no SICAF deverá ser feito no Portal de Compras do Governo Federal, no sítio </w:t>
      </w:r>
      <w:r>
        <w:rPr>
          <w:rStyle w:val="62"/>
          <w:rFonts w:hint="default" w:ascii="Arial" w:hAnsi="Arial" w:cs="Arial"/>
          <w:sz w:val="21"/>
          <w:szCs w:val="21"/>
        </w:rPr>
        <w:fldChar w:fldCharType="begin"/>
      </w:r>
      <w:r>
        <w:rPr>
          <w:rStyle w:val="62"/>
          <w:rFonts w:hint="default" w:ascii="Arial" w:hAnsi="Arial" w:cs="Arial"/>
          <w:sz w:val="21"/>
          <w:szCs w:val="21"/>
        </w:rPr>
        <w:instrText xml:space="preserve"> HYPERLINK "https://imsva91-ctp.trendmicro.com/wis/clicktime/v1/query?url=http%3a%2f%2fwww.comprasgovernamentais.gov.br&amp;umid=430E31AC-70A7-6B05-9AA8-F59BA4DC8B50&amp;auth=14cd2a61769b426d6a6f0362faa35895243d54fa-6e2197056396482feb6896ce169217ee94d7ae2f" \h </w:instrText>
      </w:r>
      <w:r>
        <w:rPr>
          <w:rStyle w:val="62"/>
          <w:rFonts w:hint="default" w:ascii="Arial" w:hAnsi="Arial" w:cs="Arial"/>
          <w:sz w:val="21"/>
          <w:szCs w:val="21"/>
        </w:rPr>
        <w:fldChar w:fldCharType="separate"/>
      </w:r>
      <w:r>
        <w:rPr>
          <w:rStyle w:val="62"/>
          <w:rFonts w:hint="default" w:ascii="Arial" w:hAnsi="Arial" w:cs="Arial"/>
          <w:sz w:val="21"/>
          <w:szCs w:val="21"/>
        </w:rPr>
        <w:t>www.comprasgovernamentais.gov.br</w:t>
      </w:r>
      <w:r>
        <w:rPr>
          <w:rStyle w:val="62"/>
          <w:rFonts w:hint="default" w:ascii="Arial" w:hAnsi="Arial" w:cs="Arial"/>
          <w:sz w:val="21"/>
          <w:szCs w:val="21"/>
        </w:rPr>
        <w:fldChar w:fldCharType="end"/>
      </w:r>
      <w:r>
        <w:rPr>
          <w:rFonts w:hint="default" w:ascii="Arial" w:hAnsi="Arial" w:cs="Arial"/>
          <w:color w:val="000000"/>
          <w:sz w:val="21"/>
          <w:szCs w:val="21"/>
        </w:rPr>
        <w:t>, por meio de certificado digital conferido pela Infraestrutura de Chaves Públicas Brasileira – ICP - Brasil.</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 credenciamento junto ao provedor do sistema implica a responsabilidade do licitante ou de seu representante legal e a presunção de sua capacidade técnica para realização das transações inerentes a este Pregão.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pPr>
        <w:numPr>
          <w:ilvl w:val="2"/>
          <w:numId w:val="2"/>
        </w:numPr>
        <w:spacing w:before="120" w:after="120" w:line="276" w:lineRule="auto"/>
        <w:ind w:left="845" w:leftChars="0" w:firstLine="0"/>
        <w:jc w:val="both"/>
        <w:rPr>
          <w:rFonts w:hint="default" w:ascii="Arial" w:hAnsi="Arial" w:cs="Arial"/>
          <w:color w:val="000000"/>
          <w:sz w:val="21"/>
          <w:szCs w:val="21"/>
        </w:rPr>
      </w:pPr>
      <w:r>
        <w:rPr>
          <w:rFonts w:hint="default" w:ascii="Arial" w:hAnsi="Arial" w:cs="Arial"/>
          <w:color w:val="000000"/>
          <w:sz w:val="21"/>
          <w:szCs w:val="21"/>
        </w:rPr>
        <w:t>A não observância do disposto no subitem anterior poderá ensejar desclassificação no momento da habilitação</w:t>
      </w:r>
    </w:p>
    <w:p>
      <w:pPr>
        <w:snapToGrid w:val="0"/>
        <w:spacing w:before="120" w:after="120" w:line="276" w:lineRule="auto"/>
        <w:ind w:left="425"/>
        <w:jc w:val="both"/>
        <w:rPr>
          <w:rFonts w:hint="default" w:ascii="Arial" w:hAnsi="Arial" w:cs="Arial"/>
          <w:bCs/>
          <w:color w:val="000000"/>
          <w:sz w:val="21"/>
          <w:szCs w:val="21"/>
        </w:rPr>
      </w:pPr>
    </w:p>
    <w:p>
      <w:pPr>
        <w:pStyle w:val="37"/>
        <w:rPr>
          <w:rFonts w:hint="default" w:ascii="Arial" w:hAnsi="Arial" w:cs="Arial"/>
          <w:sz w:val="21"/>
          <w:szCs w:val="21"/>
        </w:rPr>
      </w:pPr>
      <w:r>
        <w:rPr>
          <w:rFonts w:hint="default" w:ascii="Arial" w:hAnsi="Arial" w:cs="Arial"/>
          <w:sz w:val="21"/>
          <w:szCs w:val="21"/>
        </w:rPr>
        <w:t>DA PARTICIPAÇÃO NO PREGÃO.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Poderão participar deste Pregão interessados cujo ramo de atividade seja compatível com o objeto desta licitação, e que estejam com Credenciamento regular no Sistema de Cadastramento Unificado de Fornecedores – SICAF, conforme disposto no art. 9º da IN SEGES/MP </w:t>
      </w:r>
      <w:r>
        <w:rPr>
          <w:rFonts w:hint="default" w:ascii="Arial" w:hAnsi="Arial" w:cs="Arial"/>
          <w:color w:val="000000"/>
          <w:sz w:val="21"/>
          <w:szCs w:val="21"/>
          <w:lang w:val="pt-BR"/>
        </w:rPr>
        <w:t>n.°</w:t>
      </w:r>
      <w:r>
        <w:rPr>
          <w:rFonts w:hint="default" w:ascii="Arial" w:hAnsi="Arial" w:cs="Arial"/>
          <w:color w:val="000000"/>
          <w:sz w:val="21"/>
          <w:szCs w:val="21"/>
        </w:rPr>
        <w:t xml:space="preserve"> 3, de 2018.</w:t>
      </w:r>
    </w:p>
    <w:p>
      <w:pPr>
        <w:numPr>
          <w:ilvl w:val="2"/>
          <w:numId w:val="2"/>
        </w:numPr>
        <w:spacing w:before="120" w:after="120" w:line="276" w:lineRule="auto"/>
        <w:ind w:left="845" w:leftChars="0" w:firstLine="0"/>
        <w:jc w:val="both"/>
        <w:rPr>
          <w:rFonts w:hint="default" w:ascii="Arial" w:hAnsi="Arial" w:cs="Arial"/>
          <w:color w:val="000000"/>
          <w:sz w:val="21"/>
          <w:szCs w:val="21"/>
        </w:rPr>
      </w:pPr>
      <w:r>
        <w:rPr>
          <w:rFonts w:hint="default" w:ascii="Arial" w:hAnsi="Arial" w:cs="Arial"/>
          <w:color w:val="000000"/>
          <w:sz w:val="21"/>
          <w:szCs w:val="21"/>
        </w:rPr>
        <w:t>Os licitantes deverão utilizar o certificado digital para acesso ao Sistema.</w:t>
      </w:r>
    </w:p>
    <w:p>
      <w:pPr>
        <w:numPr>
          <w:ilvl w:val="2"/>
          <w:numId w:val="2"/>
        </w:numPr>
        <w:spacing w:before="120" w:after="120" w:line="276" w:lineRule="auto"/>
        <w:ind w:left="845" w:leftChars="0" w:firstLine="0"/>
        <w:jc w:val="both"/>
        <w:rPr>
          <w:rFonts w:hint="default" w:ascii="Arial" w:hAnsi="Arial" w:cs="Arial"/>
          <w:color w:val="000000"/>
          <w:sz w:val="21"/>
          <w:szCs w:val="21"/>
        </w:rPr>
      </w:pPr>
      <w:r>
        <w:rPr>
          <w:rFonts w:hint="default" w:ascii="Arial" w:hAnsi="Arial" w:cs="Arial"/>
          <w:b w:val="0"/>
          <w:bCs w:val="0"/>
          <w:i w:val="0"/>
          <w:iCs w:val="0"/>
          <w:color w:val="000000"/>
          <w:sz w:val="21"/>
          <w:szCs w:val="21"/>
        </w:rPr>
        <w:t xml:space="preserve">Para </w:t>
      </w:r>
      <w:r>
        <w:rPr>
          <w:rFonts w:hint="default" w:ascii="Arial" w:hAnsi="Arial" w:cs="Arial"/>
          <w:b w:val="0"/>
          <w:bCs w:val="0"/>
          <w:i w:val="0"/>
          <w:iCs w:val="0"/>
          <w:color w:val="000000"/>
          <w:sz w:val="21"/>
          <w:szCs w:val="21"/>
          <w:lang w:val="pt-BR"/>
        </w:rPr>
        <w:t xml:space="preserve">todos os </w:t>
      </w:r>
      <w:r>
        <w:rPr>
          <w:rFonts w:hint="default" w:ascii="Arial" w:hAnsi="Arial" w:cs="Arial"/>
          <w:b w:val="0"/>
          <w:bCs w:val="0"/>
          <w:i w:val="0"/>
          <w:iCs w:val="0"/>
          <w:color w:val="000000"/>
          <w:sz w:val="21"/>
          <w:szCs w:val="21"/>
        </w:rPr>
        <w:t>itens</w:t>
      </w:r>
      <w:r>
        <w:rPr>
          <w:rFonts w:hint="default" w:ascii="Arial" w:hAnsi="Arial" w:cs="Arial"/>
          <w:b w:val="0"/>
          <w:bCs w:val="0"/>
          <w:i w:val="0"/>
          <w:iCs w:val="0"/>
          <w:color w:val="000000"/>
          <w:sz w:val="21"/>
          <w:szCs w:val="21"/>
          <w:lang w:val="pt-BR"/>
        </w:rPr>
        <w:t xml:space="preserve"> do presente certame </w:t>
      </w:r>
      <w:r>
        <w:rPr>
          <w:rFonts w:hint="default" w:ascii="Arial" w:hAnsi="Arial" w:cs="Arial"/>
          <w:color w:val="000000"/>
          <w:sz w:val="21"/>
          <w:szCs w:val="21"/>
        </w:rPr>
        <w:t xml:space="preserve">a participação é exclusiva a microempresas e empresas de pequeno porte, nos termos do art. 48 da Lei Complementar </w:t>
      </w:r>
      <w:r>
        <w:rPr>
          <w:rFonts w:hint="default" w:ascii="Arial" w:hAnsi="Arial" w:cs="Arial"/>
          <w:color w:val="000000"/>
          <w:sz w:val="21"/>
          <w:szCs w:val="21"/>
          <w:lang w:val="pt-BR"/>
        </w:rPr>
        <w:t>n.°</w:t>
      </w:r>
      <w:r>
        <w:rPr>
          <w:rFonts w:hint="default" w:ascii="Arial" w:hAnsi="Arial" w:cs="Arial"/>
          <w:color w:val="000000"/>
          <w:sz w:val="21"/>
          <w:szCs w:val="21"/>
        </w:rPr>
        <w:t xml:space="preserve"> 123, de 14 de dezembro de 2006.</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Será concedido tratamento favorecido para as microempresas e empresas de pequeno porte, para as sociedades cooperativas mencionadas no artigo 34 da Lei </w:t>
      </w:r>
      <w:r>
        <w:rPr>
          <w:rFonts w:hint="default" w:ascii="Arial" w:hAnsi="Arial" w:cs="Arial"/>
          <w:color w:val="000000"/>
          <w:sz w:val="21"/>
          <w:szCs w:val="21"/>
          <w:lang w:val="pt-BR"/>
        </w:rPr>
        <w:t>n.°</w:t>
      </w:r>
      <w:r>
        <w:rPr>
          <w:rFonts w:hint="default" w:ascii="Arial" w:hAnsi="Arial" w:cs="Arial"/>
          <w:color w:val="000000"/>
          <w:sz w:val="21"/>
          <w:szCs w:val="21"/>
        </w:rPr>
        <w:t xml:space="preserve"> 11.488, de 2007, para o agricultor familiar, o produtor rural pessoa física e para o microempreendedor individual - MEI, nos limites previstos da Lei Complementar </w:t>
      </w:r>
      <w:r>
        <w:rPr>
          <w:rFonts w:hint="default" w:ascii="Arial" w:hAnsi="Arial" w:cs="Arial"/>
          <w:color w:val="000000"/>
          <w:sz w:val="21"/>
          <w:szCs w:val="21"/>
          <w:lang w:val="pt-BR"/>
        </w:rPr>
        <w:t>n.°</w:t>
      </w:r>
      <w:r>
        <w:rPr>
          <w:rFonts w:hint="default" w:ascii="Arial" w:hAnsi="Arial" w:cs="Arial"/>
          <w:color w:val="000000"/>
          <w:sz w:val="21"/>
          <w:szCs w:val="21"/>
        </w:rPr>
        <w:t xml:space="preserve"> 123, de 2006.</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Não poderão participar desta licitação os interessados:</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proibidos de participar de licitações e celebrar contratos administrativos, na forma da legislação vigente;</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que não atendam às condições deste Edital e seu(s) anexo(s);</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estrangeiros que não tenham representação legal no Brasil com poderes expressos para receber citação e responder administrativa ou judicialmente;</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 xml:space="preserve">que se enquadrem nas vedações previstas no artigo 9º da Lei </w:t>
      </w:r>
      <w:r>
        <w:rPr>
          <w:rFonts w:hint="default" w:ascii="Arial" w:hAnsi="Arial" w:cs="Arial"/>
          <w:b w:val="0"/>
          <w:bCs w:val="0"/>
          <w:i w:val="0"/>
          <w:iCs w:val="0"/>
          <w:color w:val="000000"/>
          <w:sz w:val="21"/>
          <w:szCs w:val="21"/>
          <w:lang w:val="pt-BR"/>
        </w:rPr>
        <w:t>n.°</w:t>
      </w:r>
      <w:r>
        <w:rPr>
          <w:rFonts w:hint="default" w:ascii="Arial" w:hAnsi="Arial" w:cs="Arial"/>
          <w:b w:val="0"/>
          <w:bCs w:val="0"/>
          <w:i w:val="0"/>
          <w:iCs w:val="0"/>
          <w:color w:val="000000"/>
          <w:sz w:val="21"/>
          <w:szCs w:val="21"/>
        </w:rPr>
        <w:t xml:space="preserve"> 8.666, de 1993;</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 xml:space="preserve"> que estejam sob falência, concurso de credores, concordata ou em processo de dissolução ou liquidação;</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entidades empresariais que estejam reunidas em consórcio;</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 xml:space="preserve">Organizações da Sociedade Civil de Interesse Público - OSCIP, atuando nessa condição (Acórdão </w:t>
      </w:r>
      <w:r>
        <w:rPr>
          <w:rFonts w:hint="default" w:ascii="Arial" w:hAnsi="Arial" w:cs="Arial"/>
          <w:b w:val="0"/>
          <w:bCs w:val="0"/>
          <w:i w:val="0"/>
          <w:iCs w:val="0"/>
          <w:color w:val="000000"/>
          <w:sz w:val="21"/>
          <w:szCs w:val="21"/>
          <w:lang w:val="pt-BR"/>
        </w:rPr>
        <w:t>n.°</w:t>
      </w:r>
      <w:r>
        <w:rPr>
          <w:rFonts w:hint="default" w:ascii="Arial" w:hAnsi="Arial" w:cs="Arial"/>
          <w:b w:val="0"/>
          <w:bCs w:val="0"/>
          <w:i w:val="0"/>
          <w:iCs w:val="0"/>
          <w:color w:val="000000"/>
          <w:sz w:val="21"/>
          <w:szCs w:val="21"/>
        </w:rPr>
        <w:t xml:space="preserve"> 746/2014-TCU-Plenário).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Como condição para participação no Pregão, a licitante assinalará “sim” ou “não” em campo próprio do sistema eletrônico, relativo às seguintes declarações: </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 xml:space="preserve">que cumpre os requisitos estabelecidos no artigo 3° da Lei Complementar </w:t>
      </w:r>
      <w:r>
        <w:rPr>
          <w:rFonts w:hint="default" w:ascii="Arial" w:hAnsi="Arial" w:cs="Arial"/>
          <w:b w:val="0"/>
          <w:bCs w:val="0"/>
          <w:i w:val="0"/>
          <w:iCs w:val="0"/>
          <w:color w:val="000000"/>
          <w:sz w:val="21"/>
          <w:szCs w:val="21"/>
          <w:lang w:val="pt-BR"/>
        </w:rPr>
        <w:t>n.°</w:t>
      </w:r>
      <w:r>
        <w:rPr>
          <w:rFonts w:hint="default" w:ascii="Arial" w:hAnsi="Arial" w:cs="Arial"/>
          <w:b w:val="0"/>
          <w:bCs w:val="0"/>
          <w:i w:val="0"/>
          <w:iCs w:val="0"/>
          <w:color w:val="000000"/>
          <w:sz w:val="21"/>
          <w:szCs w:val="21"/>
        </w:rPr>
        <w:t xml:space="preserve"> 123, de 2006, estando apta a usufruir do tratamento favorecido estabelecido em seus arts. 42 a 49; </w:t>
      </w:r>
    </w:p>
    <w:p>
      <w:pPr>
        <w:numPr>
          <w:ilvl w:val="3"/>
          <w:numId w:val="2"/>
        </w:numPr>
        <w:spacing w:before="120" w:after="120" w:line="276" w:lineRule="auto"/>
        <w:ind w:left="126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nos itens exclusivos para participação de microempresas e empresas de pequeno porte, a assinalação do campo “não” impedirá o prosseguimento no certame;</w:t>
      </w:r>
    </w:p>
    <w:p>
      <w:pPr>
        <w:numPr>
          <w:ilvl w:val="3"/>
          <w:numId w:val="2"/>
        </w:numPr>
        <w:spacing w:before="120" w:after="120" w:line="276" w:lineRule="auto"/>
        <w:ind w:left="126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 xml:space="preserve">nos itens em que a participação não for exclusiva para microempresas e empresas de pequeno porte, a assinalação do campo “não” apenas produzirá o efeito de o licitante não ter direito ao tratamento favorecido previsto na Lei Complementar </w:t>
      </w:r>
      <w:r>
        <w:rPr>
          <w:rFonts w:hint="default" w:ascii="Arial" w:hAnsi="Arial" w:cs="Arial"/>
          <w:b w:val="0"/>
          <w:bCs w:val="0"/>
          <w:i w:val="0"/>
          <w:iCs w:val="0"/>
          <w:color w:val="000000"/>
          <w:sz w:val="21"/>
          <w:szCs w:val="21"/>
          <w:lang w:val="pt-BR"/>
        </w:rPr>
        <w:t>n.°</w:t>
      </w:r>
      <w:r>
        <w:rPr>
          <w:rFonts w:hint="default" w:ascii="Arial" w:hAnsi="Arial" w:cs="Arial"/>
          <w:b w:val="0"/>
          <w:bCs w:val="0"/>
          <w:i w:val="0"/>
          <w:iCs w:val="0"/>
          <w:color w:val="000000"/>
          <w:sz w:val="21"/>
          <w:szCs w:val="21"/>
        </w:rPr>
        <w:t xml:space="preserve"> 123, de 2006, mesmo que microempresa, empresa de pequeno porte.</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que está ciente e concorda com as condições contidas no Edital e seus anexos;</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 xml:space="preserve">         que cumpre os requisitos para a habilitação definidos no Edital e que a proposta apresentada está em conformidade com as exigências editalícias;</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 xml:space="preserve">que inexistem fatos impeditivos para sua habilitação no certame, ciente da obrigatoriedade de declarar ocorrências posteriores; </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 xml:space="preserve">que não emprega menor de 18 anos em trabalho noturno, perigoso ou insalubre e não emprega menor de 16 anos, salvo menor, a partir de 14 anos, na condição de aprendiz, nos termos do artigo 7°, XXXIII, da Constituição; </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 xml:space="preserve">que a proposta foi elaborada de forma independente, nos termos da Instrução Normativa SLTI/MP </w:t>
      </w:r>
      <w:r>
        <w:rPr>
          <w:rFonts w:hint="default" w:ascii="Arial" w:hAnsi="Arial" w:cs="Arial"/>
          <w:b w:val="0"/>
          <w:bCs w:val="0"/>
          <w:i w:val="0"/>
          <w:iCs w:val="0"/>
          <w:color w:val="000000"/>
          <w:sz w:val="21"/>
          <w:szCs w:val="21"/>
          <w:lang w:val="pt-BR"/>
        </w:rPr>
        <w:t>n.°</w:t>
      </w:r>
      <w:r>
        <w:rPr>
          <w:rFonts w:hint="default" w:ascii="Arial" w:hAnsi="Arial" w:cs="Arial"/>
          <w:b w:val="0"/>
          <w:bCs w:val="0"/>
          <w:i w:val="0"/>
          <w:iCs w:val="0"/>
          <w:color w:val="000000"/>
          <w:sz w:val="21"/>
          <w:szCs w:val="21"/>
        </w:rPr>
        <w:t xml:space="preserve"> 2, de 16 de setembro de 2009.</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que não possui, em sua cadeia produtiva, empregados executando trabalho degradante ou forçado, observando o disposto nos incisos III e IV do art. 1º e no inciso III do art. 5º da Constituição Federal;</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 xml:space="preserve">que os bens são fornecidos por empresas que comprovem cumprimento de     reserva de cargos prevista em lei para pessoa com deficiência ou para reabilitado da Previdência Social e que atendam às regras de acessibilidade previstas na legislação, conforme disposto no art. 93 da Lei </w:t>
      </w:r>
      <w:r>
        <w:rPr>
          <w:rFonts w:hint="default" w:ascii="Arial" w:hAnsi="Arial" w:cs="Arial"/>
          <w:b w:val="0"/>
          <w:bCs w:val="0"/>
          <w:i w:val="0"/>
          <w:iCs w:val="0"/>
          <w:color w:val="000000"/>
          <w:sz w:val="21"/>
          <w:szCs w:val="21"/>
          <w:lang w:val="pt-BR"/>
        </w:rPr>
        <w:t>n.°</w:t>
      </w:r>
      <w:r>
        <w:rPr>
          <w:rFonts w:hint="default" w:ascii="Arial" w:hAnsi="Arial" w:cs="Arial"/>
          <w:b w:val="0"/>
          <w:bCs w:val="0"/>
          <w:i w:val="0"/>
          <w:iCs w:val="0"/>
          <w:color w:val="000000"/>
          <w:sz w:val="21"/>
          <w:szCs w:val="21"/>
        </w:rPr>
        <w:t xml:space="preserve"> 8.213, de 24 de julho de 1991.</w:t>
      </w:r>
    </w:p>
    <w:p>
      <w:pPr>
        <w:numPr>
          <w:ilvl w:val="2"/>
          <w:numId w:val="2"/>
        </w:numPr>
        <w:spacing w:before="120" w:after="120" w:line="276" w:lineRule="auto"/>
        <w:ind w:left="845" w:leftChars="0" w:firstLine="0"/>
        <w:jc w:val="both"/>
        <w:rPr>
          <w:rFonts w:hint="default" w:ascii="Arial" w:hAnsi="Arial" w:cs="Arial"/>
          <w:b w:val="0"/>
          <w:bCs w:val="0"/>
          <w:i/>
          <w:iCs/>
          <w:color w:val="000000"/>
          <w:sz w:val="21"/>
          <w:szCs w:val="21"/>
        </w:rPr>
      </w:pPr>
      <w:r>
        <w:rPr>
          <w:rFonts w:hint="default" w:ascii="Arial" w:hAnsi="Arial" w:cs="Arial"/>
          <w:b w:val="0"/>
          <w:bCs w:val="0"/>
          <w:i/>
          <w:iCs/>
          <w:color w:val="000000"/>
          <w:sz w:val="21"/>
          <w:szCs w:val="21"/>
          <w:lang w:val="pt-BR"/>
        </w:rPr>
        <w:t>Omisssis</w:t>
      </w:r>
      <w:r>
        <w:rPr>
          <w:rStyle w:val="18"/>
          <w:rFonts w:hint="default" w:ascii="Arial" w:hAnsi="Arial" w:cs="Arial"/>
          <w:b w:val="0"/>
          <w:bCs w:val="0"/>
          <w:i/>
          <w:iCs/>
          <w:color w:val="000000"/>
          <w:sz w:val="21"/>
          <w:szCs w:val="21"/>
          <w:lang w:val="pt-BR"/>
        </w:rPr>
        <w:footnoteReference w:id="0"/>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 declaração falsa relativa ao cumprimento de qualquer condição sujeitará o licitante às sanções previstas em lei e neste Edital.</w:t>
      </w:r>
    </w:p>
    <w:p>
      <w:pPr>
        <w:numPr>
          <w:ilvl w:val="0"/>
          <w:numId w:val="0"/>
        </w:numPr>
        <w:spacing w:before="120" w:after="120" w:line="276" w:lineRule="auto"/>
        <w:ind w:left="425" w:leftChars="0"/>
        <w:jc w:val="both"/>
        <w:rPr>
          <w:rFonts w:hint="default" w:ascii="Arial" w:hAnsi="Arial" w:cs="Arial"/>
          <w:color w:val="000000"/>
          <w:sz w:val="21"/>
          <w:szCs w:val="21"/>
        </w:rPr>
      </w:pPr>
    </w:p>
    <w:p>
      <w:pPr>
        <w:pStyle w:val="37"/>
        <w:rPr>
          <w:rFonts w:hint="default" w:ascii="Arial" w:hAnsi="Arial" w:cs="Arial"/>
          <w:sz w:val="21"/>
          <w:szCs w:val="21"/>
        </w:rPr>
      </w:pPr>
      <w:r>
        <w:rPr>
          <w:rFonts w:hint="default" w:ascii="Arial" w:hAnsi="Arial" w:cs="Arial"/>
          <w:sz w:val="21"/>
          <w:szCs w:val="21"/>
        </w:rPr>
        <w:t>DA APRESENTAÇÃO DA PROPOSTA E DOS DOCUMENTOS DE HABILITAÇÃO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 envio da proposta, acompanhada dos documentos de habilitação exigidos neste Edital, ocorrerá por meio de chave de acesso e senha.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Os licitantes poderão deixar de apresentar os documentos de habilitação que constem do SICAF, assegurado aos demais licitantes o direito de acesso aos dados constantes dos sistemas.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As Microempresas e Empresas de Pequeno Porte deverão encaminhar a documentação de habilitação, ainda que haja alguma restrição de regularidade fiscal e trabalhista, nos termos do art. 43, § 1º da LC </w:t>
      </w:r>
      <w:r>
        <w:rPr>
          <w:rFonts w:hint="default" w:ascii="Arial" w:hAnsi="Arial" w:cs="Arial"/>
          <w:color w:val="000000"/>
          <w:sz w:val="21"/>
          <w:szCs w:val="21"/>
          <w:lang w:val="pt-BR"/>
        </w:rPr>
        <w:t>n.°</w:t>
      </w:r>
      <w:r>
        <w:rPr>
          <w:rFonts w:hint="default" w:ascii="Arial" w:hAnsi="Arial" w:cs="Arial"/>
          <w:color w:val="000000"/>
          <w:sz w:val="21"/>
          <w:szCs w:val="21"/>
        </w:rPr>
        <w:t xml:space="preserve"> 123, de 2006.</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Até a abertura da sessão pública, os licitantes poderão retirar ou substituir a proposta e os documentos de habilitação anteriormente inseridos no sistema;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Não será estabelecida, nessa etapa do certame, ordem de classificação entre as propostas apresentadas, o que somente ocorrerá após a realização dos procedimentos de negociação e julgamento da proposta.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Os documentos que compõem a proposta e a habilitação do licitante melhor classificado somente serão disponibilizados para avaliação do pregoeiro e para acesso público após o encerramento do envio de lances.</w:t>
      </w:r>
    </w:p>
    <w:p>
      <w:pPr>
        <w:spacing w:before="120" w:after="120" w:line="276" w:lineRule="auto"/>
        <w:ind w:left="425"/>
        <w:jc w:val="both"/>
        <w:rPr>
          <w:rFonts w:hint="default" w:ascii="Arial" w:hAnsi="Arial" w:cs="Arial"/>
          <w:sz w:val="21"/>
          <w:szCs w:val="21"/>
        </w:rPr>
      </w:pPr>
    </w:p>
    <w:p>
      <w:pPr>
        <w:pStyle w:val="37"/>
        <w:rPr>
          <w:rFonts w:hint="default" w:ascii="Arial" w:hAnsi="Arial" w:cs="Arial"/>
          <w:sz w:val="21"/>
          <w:szCs w:val="21"/>
        </w:rPr>
      </w:pPr>
      <w:r>
        <w:rPr>
          <w:rFonts w:hint="default" w:ascii="Arial" w:hAnsi="Arial" w:cs="Arial"/>
          <w:sz w:val="21"/>
          <w:szCs w:val="21"/>
        </w:rPr>
        <w:t>DO PREENCHIMENTO DA PROPOSTA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 licitante deverá enviar sua proposta mediante o preenchimento, no sistema eletrônico, dos seguintes campos:</w:t>
      </w:r>
    </w:p>
    <w:p>
      <w:pPr>
        <w:numPr>
          <w:ilvl w:val="2"/>
          <w:numId w:val="2"/>
        </w:numPr>
        <w:spacing w:before="120" w:after="120" w:line="276" w:lineRule="auto"/>
        <w:ind w:left="845" w:leftChars="0" w:firstLine="0"/>
        <w:jc w:val="both"/>
        <w:rPr>
          <w:rFonts w:hint="default" w:ascii="Arial" w:hAnsi="Arial" w:cs="Arial"/>
          <w:color w:val="000000"/>
          <w:sz w:val="21"/>
          <w:szCs w:val="21"/>
        </w:rPr>
      </w:pPr>
      <w:r>
        <w:rPr>
          <w:rFonts w:hint="default" w:ascii="Arial" w:hAnsi="Arial" w:cs="Arial"/>
          <w:color w:val="000000"/>
          <w:sz w:val="21"/>
          <w:szCs w:val="21"/>
        </w:rPr>
        <w:t>Valor unitário e total do item;</w:t>
      </w:r>
    </w:p>
    <w:p>
      <w:pPr>
        <w:numPr>
          <w:ilvl w:val="2"/>
          <w:numId w:val="2"/>
        </w:numPr>
        <w:spacing w:before="120" w:after="120" w:line="276" w:lineRule="auto"/>
        <w:ind w:left="845" w:leftChars="0" w:firstLine="0"/>
        <w:jc w:val="both"/>
        <w:rPr>
          <w:rFonts w:hint="default" w:ascii="Arial" w:hAnsi="Arial" w:cs="Arial"/>
          <w:color w:val="000000"/>
          <w:sz w:val="21"/>
          <w:szCs w:val="21"/>
        </w:rPr>
      </w:pPr>
      <w:r>
        <w:rPr>
          <w:rFonts w:hint="default" w:ascii="Arial" w:hAnsi="Arial" w:cs="Arial"/>
          <w:color w:val="000000"/>
          <w:sz w:val="21"/>
          <w:szCs w:val="21"/>
        </w:rPr>
        <w:t>Marca;</w:t>
      </w:r>
    </w:p>
    <w:p>
      <w:pPr>
        <w:numPr>
          <w:ilvl w:val="2"/>
          <w:numId w:val="2"/>
        </w:numPr>
        <w:spacing w:before="120" w:after="120" w:line="276" w:lineRule="auto"/>
        <w:ind w:left="845" w:leftChars="0" w:firstLine="0"/>
        <w:jc w:val="both"/>
        <w:rPr>
          <w:rFonts w:hint="default" w:ascii="Arial" w:hAnsi="Arial" w:cs="Arial"/>
          <w:color w:val="000000"/>
          <w:sz w:val="21"/>
          <w:szCs w:val="21"/>
        </w:rPr>
      </w:pPr>
      <w:r>
        <w:rPr>
          <w:rFonts w:hint="default" w:ascii="Arial" w:hAnsi="Arial" w:cs="Arial"/>
          <w:color w:val="000000"/>
          <w:sz w:val="21"/>
          <w:szCs w:val="21"/>
        </w:rPr>
        <w:t xml:space="preserve">Fabricante; </w:t>
      </w:r>
    </w:p>
    <w:p>
      <w:pPr>
        <w:numPr>
          <w:ilvl w:val="2"/>
          <w:numId w:val="2"/>
        </w:numPr>
        <w:spacing w:before="120" w:after="120" w:line="276" w:lineRule="auto"/>
        <w:ind w:left="845" w:leftChars="0" w:firstLine="0"/>
        <w:jc w:val="both"/>
        <w:rPr>
          <w:rFonts w:hint="default" w:ascii="Arial" w:hAnsi="Arial" w:cs="Arial"/>
          <w:color w:val="000000"/>
          <w:sz w:val="21"/>
          <w:szCs w:val="21"/>
        </w:rPr>
      </w:pPr>
      <w:r>
        <w:rPr>
          <w:rFonts w:hint="default" w:ascii="Arial" w:hAnsi="Arial" w:cs="Arial"/>
          <w:color w:val="000000"/>
          <w:sz w:val="21"/>
          <w:szCs w:val="21"/>
        </w:rPr>
        <w:t xml:space="preserve">Descrição detalhada do objeto, contendo as informações similares à especificação do Termo de Referência: indicando, no que for aplicável, o modelo, prazo de validade ou de garantia, número do registro ou inscrição do bem no órgão competente, quando for o caso;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Todas as especificações do objeto contidas na proposta vinculam a Contratada.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Nos valores propostos estarão inclusos todos os custos operacionais, encargos previdenciários, trabalhistas, tributários, comerciais e quaisquer outros que incidam direta ou indiretamente no fornecimento dos bens.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Os preços ofertados, tanto na proposta inicial, quanto na etapa de lances, serão de exclusiva responsabilidade do licitante, não lhe assistindo o direito de pleitear qualquer alteração, sob alegação de erro, omissão ou qualquer outro pretexto.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O prazo de validade da proposta não será inferior a </w:t>
      </w:r>
      <w:r>
        <w:rPr>
          <w:rFonts w:hint="default" w:ascii="Arial" w:hAnsi="Arial" w:cs="Arial"/>
          <w:b/>
          <w:bCs/>
          <w:i/>
          <w:iCs/>
          <w:color w:val="000000"/>
          <w:sz w:val="21"/>
          <w:szCs w:val="21"/>
          <w:lang w:val="pt-BR"/>
        </w:rPr>
        <w:t>60</w:t>
      </w:r>
      <w:r>
        <w:rPr>
          <w:rFonts w:hint="default" w:ascii="Arial" w:hAnsi="Arial" w:cs="Arial"/>
          <w:b/>
          <w:bCs/>
          <w:i/>
          <w:iCs/>
          <w:color w:val="000000"/>
          <w:sz w:val="21"/>
          <w:szCs w:val="21"/>
        </w:rPr>
        <w:t xml:space="preserve"> (</w:t>
      </w:r>
      <w:r>
        <w:rPr>
          <w:rFonts w:hint="default" w:ascii="Arial" w:hAnsi="Arial" w:cs="Arial"/>
          <w:b/>
          <w:bCs/>
          <w:i/>
          <w:iCs/>
          <w:color w:val="000000"/>
          <w:sz w:val="21"/>
          <w:szCs w:val="21"/>
          <w:lang w:val="pt-BR"/>
        </w:rPr>
        <w:t>sessenta</w:t>
      </w:r>
      <w:r>
        <w:rPr>
          <w:rFonts w:hint="default" w:ascii="Arial" w:hAnsi="Arial" w:cs="Arial"/>
          <w:b/>
          <w:bCs/>
          <w:i/>
          <w:iCs/>
          <w:color w:val="000000"/>
          <w:sz w:val="21"/>
          <w:szCs w:val="21"/>
        </w:rPr>
        <w:t>) dias</w:t>
      </w:r>
      <w:r>
        <w:rPr>
          <w:rFonts w:hint="default" w:ascii="Arial" w:hAnsi="Arial" w:cs="Arial"/>
          <w:color w:val="000000"/>
          <w:sz w:val="21"/>
          <w:szCs w:val="21"/>
        </w:rPr>
        <w:t xml:space="preserve">, a contar da data de sua apresentação.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Os licitantes devem respeitar os preços máximos estabelecidos nas normas de regência de contratações públicas federais, quando participarem de licitações públicas;</w:t>
      </w:r>
    </w:p>
    <w:p>
      <w:pPr>
        <w:numPr>
          <w:ilvl w:val="2"/>
          <w:numId w:val="2"/>
        </w:numPr>
        <w:spacing w:before="120" w:after="120" w:line="276" w:lineRule="auto"/>
        <w:ind w:left="845" w:leftChars="0" w:firstLine="0"/>
        <w:jc w:val="both"/>
        <w:rPr>
          <w:rFonts w:hint="default" w:ascii="Arial" w:hAnsi="Arial" w:cs="Arial"/>
          <w:color w:val="000000"/>
          <w:sz w:val="21"/>
          <w:szCs w:val="21"/>
        </w:rPr>
      </w:pPr>
      <w:r>
        <w:rPr>
          <w:rFonts w:hint="default" w:ascii="Arial" w:hAnsi="Arial" w:cs="Arial"/>
          <w:color w:val="000000"/>
          <w:sz w:val="21"/>
          <w:szCs w:val="21"/>
        </w:rPr>
        <w:t>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pPr>
        <w:numPr>
          <w:ilvl w:val="0"/>
          <w:numId w:val="0"/>
        </w:numPr>
        <w:spacing w:before="120" w:after="120" w:line="276" w:lineRule="auto"/>
        <w:ind w:left="845" w:leftChars="0"/>
        <w:jc w:val="both"/>
        <w:rPr>
          <w:rFonts w:hint="default" w:ascii="Arial" w:hAnsi="Arial" w:cs="Arial"/>
          <w:color w:val="000000"/>
          <w:sz w:val="21"/>
          <w:szCs w:val="21"/>
        </w:rPr>
      </w:pPr>
    </w:p>
    <w:p>
      <w:pPr>
        <w:pStyle w:val="37"/>
        <w:ind w:left="0" w:firstLine="0"/>
        <w:rPr>
          <w:rFonts w:hint="default" w:ascii="Arial" w:hAnsi="Arial" w:cs="Arial"/>
          <w:sz w:val="21"/>
          <w:szCs w:val="21"/>
        </w:rPr>
      </w:pPr>
      <w:r>
        <w:rPr>
          <w:rFonts w:hint="default" w:ascii="Arial" w:hAnsi="Arial" w:cs="Arial"/>
          <w:color w:val="auto"/>
          <w:sz w:val="21"/>
          <w:szCs w:val="21"/>
        </w:rPr>
        <w:t xml:space="preserve">DA ABERTURA DA SESSÃO, CLASSIFICAÇÃO DAS PROPOSTAS E FORMULAÇÃO DE LANCES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A </w:t>
      </w:r>
      <w:r>
        <w:rPr>
          <w:rFonts w:hint="default" w:ascii="Arial" w:hAnsi="Arial" w:cs="Arial"/>
          <w:color w:val="000000"/>
          <w:sz w:val="21"/>
          <w:szCs w:val="21"/>
        </w:rPr>
        <w:t>abertura</w:t>
      </w:r>
      <w:r>
        <w:rPr>
          <w:rFonts w:hint="default" w:ascii="Arial" w:hAnsi="Arial" w:cs="Arial"/>
          <w:color w:val="000000"/>
          <w:sz w:val="21"/>
          <w:szCs w:val="21"/>
          <w:lang w:eastAsia="en-US"/>
        </w:rPr>
        <w:t xml:space="preserve"> da presente licitação dar-se-á em sessão pública, por meio de sistema eletrônico, na data, horário e local indicados neste Edital.</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  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Também será desclassificada a proposta que identifique o licitante.</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A desclassificação será sempre fundamentada e registrada no sistema, com acompanhamento em tempo real por todos os participantes.</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A não desclassificação da proposta não impede o seu julgamento definitivo em sentido contrário, levado a efeito na fase de aceitação.</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O sistema ordenará automaticamente as propostas classificadas, sendo que somente estas participarão da fase de lances.</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O sistema disponibilizará campo próprio para troca de mensagens entre o Pregoeiro e os licitantes.</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 Iniciada a etapa competitiva, os licitantes deverão encaminhar lances exclusivamente por meio do sistema eletrônico, sendo imediatamente informados do seu recebimento e do valor consignado no registro. </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O lance deverá ser ofertado pelo valor unitário do item</w:t>
      </w:r>
      <w:r>
        <w:rPr>
          <w:rFonts w:hint="default" w:ascii="Arial" w:hAnsi="Arial" w:cs="Arial"/>
          <w:color w:val="000000"/>
          <w:sz w:val="21"/>
          <w:szCs w:val="21"/>
          <w:lang w:val="pt-BR" w:eastAsia="en-US"/>
        </w:rPr>
        <w:t>.</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Os licitantes poderão oferecer lances sucessivos, observando o horário fixado para abertura da sessão e as regras estabelecidas no Edital.</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O licitante somente poderá oferecer lance de valor inferior ou percentual de desconto superior ao último por ele ofertado e registrado pelo sistema.</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O intervalo mínimo de diferença de valores entre os lances, que incidirá tanto em relação aos lances intermediários quanto em relação à proposta que cobrir a melhor oferta deverá ser  </w:t>
      </w:r>
      <w:r>
        <w:rPr>
          <w:rFonts w:hint="default" w:ascii="Arial" w:hAnsi="Arial" w:cs="Arial"/>
          <w:b/>
          <w:bCs/>
          <w:i/>
          <w:iCs/>
          <w:color w:val="000000"/>
          <w:sz w:val="21"/>
          <w:szCs w:val="21"/>
          <w:lang w:val="pt-BR" w:eastAsia="en-US"/>
        </w:rPr>
        <w:t>R$ 0,10</w:t>
      </w:r>
      <w:r>
        <w:rPr>
          <w:rFonts w:hint="default" w:ascii="Arial" w:hAnsi="Arial" w:cs="Arial"/>
          <w:b/>
          <w:bCs/>
          <w:i/>
          <w:iCs/>
          <w:color w:val="000000"/>
          <w:sz w:val="21"/>
          <w:szCs w:val="21"/>
          <w:lang w:eastAsia="en-US"/>
        </w:rPr>
        <w:t xml:space="preserve"> (</w:t>
      </w:r>
      <w:r>
        <w:rPr>
          <w:rFonts w:hint="default" w:ascii="Arial" w:hAnsi="Arial" w:cs="Arial"/>
          <w:b/>
          <w:bCs/>
          <w:i/>
          <w:iCs/>
          <w:color w:val="000000"/>
          <w:sz w:val="21"/>
          <w:szCs w:val="21"/>
          <w:lang w:val="pt-BR" w:eastAsia="en-US"/>
        </w:rPr>
        <w:t>dez centavos</w:t>
      </w:r>
      <w:r>
        <w:rPr>
          <w:rFonts w:hint="default" w:ascii="Arial" w:hAnsi="Arial" w:cs="Arial"/>
          <w:b/>
          <w:bCs/>
          <w:i/>
          <w:iCs/>
          <w:color w:val="000000"/>
          <w:sz w:val="21"/>
          <w:szCs w:val="21"/>
          <w:lang w:eastAsia="en-US"/>
        </w:rPr>
        <w:t>).</w:t>
      </w:r>
    </w:p>
    <w:p>
      <w:pPr>
        <w:pStyle w:val="22"/>
        <w:numPr>
          <w:ilvl w:val="0"/>
          <w:numId w:val="4"/>
        </w:numPr>
        <w:spacing w:before="120" w:after="120" w:line="276" w:lineRule="auto"/>
        <w:contextualSpacing w:val="0"/>
        <w:jc w:val="both"/>
        <w:rPr>
          <w:rFonts w:hint="default" w:ascii="Arial" w:hAnsi="Arial" w:cs="Arial"/>
          <w:i/>
          <w:iCs/>
          <w:vanish/>
          <w:color w:val="FF0000"/>
          <w:sz w:val="21"/>
          <w:szCs w:val="21"/>
        </w:rPr>
      </w:pPr>
    </w:p>
    <w:p>
      <w:pPr>
        <w:pStyle w:val="22"/>
        <w:numPr>
          <w:ilvl w:val="0"/>
          <w:numId w:val="4"/>
        </w:numPr>
        <w:spacing w:before="120" w:after="120" w:line="276" w:lineRule="auto"/>
        <w:contextualSpacing w:val="0"/>
        <w:jc w:val="both"/>
        <w:rPr>
          <w:rFonts w:hint="default" w:ascii="Arial" w:hAnsi="Arial" w:cs="Arial"/>
          <w:i/>
          <w:iCs/>
          <w:vanish/>
          <w:color w:val="FF0000"/>
          <w:sz w:val="21"/>
          <w:szCs w:val="21"/>
        </w:rPr>
      </w:pPr>
    </w:p>
    <w:p>
      <w:pPr>
        <w:pStyle w:val="22"/>
        <w:numPr>
          <w:ilvl w:val="1"/>
          <w:numId w:val="4"/>
        </w:numPr>
        <w:spacing w:before="120" w:after="120" w:line="276" w:lineRule="auto"/>
        <w:contextualSpacing w:val="0"/>
        <w:jc w:val="both"/>
        <w:rPr>
          <w:rFonts w:hint="default" w:ascii="Arial" w:hAnsi="Arial" w:cs="Arial"/>
          <w:i/>
          <w:iCs/>
          <w:vanish/>
          <w:color w:val="FF0000"/>
          <w:sz w:val="21"/>
          <w:szCs w:val="21"/>
        </w:rPr>
      </w:pPr>
    </w:p>
    <w:p>
      <w:pPr>
        <w:pStyle w:val="22"/>
        <w:numPr>
          <w:ilvl w:val="1"/>
          <w:numId w:val="4"/>
        </w:numPr>
        <w:spacing w:before="120" w:after="120" w:line="276" w:lineRule="auto"/>
        <w:contextualSpacing w:val="0"/>
        <w:jc w:val="both"/>
        <w:rPr>
          <w:rFonts w:hint="default" w:ascii="Arial" w:hAnsi="Arial" w:cs="Arial"/>
          <w:i/>
          <w:iCs/>
          <w:vanish/>
          <w:color w:val="FF0000"/>
          <w:sz w:val="21"/>
          <w:szCs w:val="21"/>
        </w:rPr>
      </w:pPr>
    </w:p>
    <w:p>
      <w:pPr>
        <w:pStyle w:val="22"/>
        <w:numPr>
          <w:ilvl w:val="1"/>
          <w:numId w:val="4"/>
        </w:numPr>
        <w:spacing w:before="120" w:after="120" w:line="276" w:lineRule="auto"/>
        <w:contextualSpacing w:val="0"/>
        <w:jc w:val="both"/>
        <w:rPr>
          <w:rFonts w:hint="default" w:ascii="Arial" w:hAnsi="Arial" w:cs="Arial"/>
          <w:i/>
          <w:iCs/>
          <w:vanish/>
          <w:color w:val="FF0000"/>
          <w:sz w:val="21"/>
          <w:szCs w:val="21"/>
        </w:rPr>
      </w:pPr>
    </w:p>
    <w:p>
      <w:pPr>
        <w:pStyle w:val="22"/>
        <w:numPr>
          <w:ilvl w:val="1"/>
          <w:numId w:val="4"/>
        </w:numPr>
        <w:spacing w:before="120" w:after="120" w:line="276" w:lineRule="auto"/>
        <w:contextualSpacing w:val="0"/>
        <w:jc w:val="both"/>
        <w:rPr>
          <w:rFonts w:hint="default" w:ascii="Arial" w:hAnsi="Arial" w:cs="Arial"/>
          <w:i/>
          <w:iCs/>
          <w:vanish/>
          <w:color w:val="FF0000"/>
          <w:sz w:val="21"/>
          <w:szCs w:val="21"/>
        </w:rPr>
      </w:pPr>
    </w:p>
    <w:p>
      <w:pPr>
        <w:pStyle w:val="22"/>
        <w:numPr>
          <w:ilvl w:val="1"/>
          <w:numId w:val="4"/>
        </w:numPr>
        <w:spacing w:before="120" w:after="120" w:line="276" w:lineRule="auto"/>
        <w:contextualSpacing w:val="0"/>
        <w:jc w:val="both"/>
        <w:rPr>
          <w:rFonts w:hint="default" w:ascii="Arial" w:hAnsi="Arial" w:cs="Arial"/>
          <w:i/>
          <w:iCs/>
          <w:vanish/>
          <w:color w:val="FF0000"/>
          <w:sz w:val="21"/>
          <w:szCs w:val="21"/>
        </w:rPr>
      </w:pPr>
    </w:p>
    <w:p>
      <w:pPr>
        <w:pStyle w:val="22"/>
        <w:numPr>
          <w:ilvl w:val="1"/>
          <w:numId w:val="4"/>
        </w:numPr>
        <w:spacing w:before="120" w:after="120" w:line="276" w:lineRule="auto"/>
        <w:contextualSpacing w:val="0"/>
        <w:jc w:val="both"/>
        <w:rPr>
          <w:rFonts w:hint="default" w:ascii="Arial" w:hAnsi="Arial" w:cs="Arial"/>
          <w:i/>
          <w:iCs/>
          <w:vanish/>
          <w:color w:val="FF0000"/>
          <w:sz w:val="21"/>
          <w:szCs w:val="21"/>
        </w:rPr>
      </w:pPr>
    </w:p>
    <w:p>
      <w:pPr>
        <w:pStyle w:val="22"/>
        <w:numPr>
          <w:ilvl w:val="1"/>
          <w:numId w:val="4"/>
        </w:numPr>
        <w:spacing w:before="120" w:after="120" w:line="276" w:lineRule="auto"/>
        <w:contextualSpacing w:val="0"/>
        <w:jc w:val="both"/>
        <w:rPr>
          <w:rFonts w:hint="default" w:ascii="Arial" w:hAnsi="Arial" w:cs="Arial"/>
          <w:i/>
          <w:iCs/>
          <w:vanish/>
          <w:color w:val="FF0000"/>
          <w:sz w:val="21"/>
          <w:szCs w:val="21"/>
        </w:rPr>
      </w:pPr>
    </w:p>
    <w:p>
      <w:pPr>
        <w:pStyle w:val="22"/>
        <w:numPr>
          <w:ilvl w:val="1"/>
          <w:numId w:val="4"/>
        </w:numPr>
        <w:spacing w:before="120" w:after="120" w:line="276" w:lineRule="auto"/>
        <w:contextualSpacing w:val="0"/>
        <w:jc w:val="both"/>
        <w:rPr>
          <w:rFonts w:hint="default" w:ascii="Arial" w:hAnsi="Arial" w:cs="Arial"/>
          <w:i/>
          <w:iCs/>
          <w:vanish/>
          <w:color w:val="FF0000"/>
          <w:sz w:val="21"/>
          <w:szCs w:val="21"/>
        </w:rPr>
      </w:pPr>
    </w:p>
    <w:p>
      <w:pPr>
        <w:pStyle w:val="22"/>
        <w:numPr>
          <w:ilvl w:val="0"/>
          <w:numId w:val="5"/>
        </w:numPr>
        <w:spacing w:before="120" w:after="120" w:line="276" w:lineRule="auto"/>
        <w:contextualSpacing w:val="0"/>
        <w:jc w:val="both"/>
        <w:rPr>
          <w:rFonts w:hint="default" w:ascii="Arial" w:hAnsi="Arial" w:cs="Arial"/>
          <w:i/>
          <w:iCs/>
          <w:vanish/>
          <w:color w:val="FF0000"/>
          <w:sz w:val="21"/>
          <w:szCs w:val="21"/>
        </w:rPr>
      </w:pPr>
    </w:p>
    <w:p>
      <w:pPr>
        <w:pStyle w:val="22"/>
        <w:numPr>
          <w:ilvl w:val="0"/>
          <w:numId w:val="5"/>
        </w:numPr>
        <w:spacing w:before="120" w:after="120" w:line="276" w:lineRule="auto"/>
        <w:contextualSpacing w:val="0"/>
        <w:jc w:val="both"/>
        <w:rPr>
          <w:rFonts w:hint="default" w:ascii="Arial" w:hAnsi="Arial" w:cs="Arial"/>
          <w:i/>
          <w:iCs/>
          <w:vanish/>
          <w:color w:val="FF0000"/>
          <w:sz w:val="21"/>
          <w:szCs w:val="21"/>
        </w:rPr>
      </w:pP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Será adotado para o envio de lances no pregão eletrônico o modo de disputa </w:t>
      </w:r>
      <w:r>
        <w:rPr>
          <w:rFonts w:hint="default" w:ascii="Arial" w:hAnsi="Arial" w:cs="Arial"/>
          <w:b/>
          <w:bCs/>
          <w:i/>
          <w:iCs/>
          <w:color w:val="000000"/>
          <w:sz w:val="21"/>
          <w:szCs w:val="21"/>
          <w:lang w:eastAsia="en-US"/>
        </w:rPr>
        <w:t>“aberto”</w:t>
      </w:r>
      <w:r>
        <w:rPr>
          <w:rFonts w:hint="default" w:ascii="Arial" w:hAnsi="Arial" w:cs="Arial"/>
          <w:color w:val="000000"/>
          <w:sz w:val="21"/>
          <w:szCs w:val="21"/>
          <w:lang w:eastAsia="en-US"/>
        </w:rPr>
        <w:t>, em que os licitantes apresentarão lances públicos e sucessivos, com prorrogações.</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A etapa de lances da sessão pública terá duração de dez minutos e, após isso, será prorrogada automaticamente pelo sistema quando houver lance ofertado nos últimos dois minutos do período de duração da sessão pública.</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A prorrogação automática da etapa de lances, de que trata o item anterior, será de dois minutos e ocorrerá sucessivamente sempre que houver lances enviados nesse período de prorrogação, inclusive no caso de lances intermediários.</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Não havendo novos lances na forma estabelecida nos itens anteriores, a sessão pública encerrar-se-á automaticamente.</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Encerrada a fase competitiva sem que haja a prorrogação automática pelo sistema, poderá o pregoeiro, assessorado pela equipe de apoio, justificadamente, admitir o reinício da sessão pública de lances, em prol da consecução do melhor preço.</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Não serão aceitos dois ou mais lances de mesmo valor, prevalecendo aquele que for recebido e registrado em primeiro lugar.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Durante o transcurso da sessão pública, os licitantes serão informados, em tempo real, do valor do menor lance registrado, vedada a identificação do licitante.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No caso de desconexão com o Pregoeiro, no decorrer da etapa competitiva do Pregão, o sistema eletrônico poderá permanecer acessível aos licitantes para a recepção dos lances.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Quando a desconexão do sistema eletrônico para o pregoeiro persistir por tempo superior a dez minutos, a sessão pública será suspensa e reiniciada somente após decorridas doze horas da comunicação do fato pelo Pregoeiro aos participantes, no sítio eletrônico utilizado para divulgação.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O Critério de julgamento adotado será o </w:t>
      </w:r>
      <w:r>
        <w:rPr>
          <w:rFonts w:hint="default" w:ascii="Arial" w:hAnsi="Arial" w:cs="Arial"/>
          <w:b/>
          <w:bCs/>
          <w:i/>
          <w:iCs/>
          <w:color w:val="000000"/>
          <w:sz w:val="21"/>
          <w:szCs w:val="21"/>
          <w:lang w:eastAsia="en-US"/>
        </w:rPr>
        <w:t>menor preço</w:t>
      </w:r>
      <w:r>
        <w:rPr>
          <w:rFonts w:hint="default" w:ascii="Arial" w:hAnsi="Arial" w:cs="Arial"/>
          <w:color w:val="000000"/>
          <w:sz w:val="21"/>
          <w:szCs w:val="21"/>
          <w:lang w:eastAsia="en-US"/>
        </w:rPr>
        <w:t xml:space="preserve">, conforme definido neste Edital e seus anexos.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Caso o licitante não apresente lances, concorrerá com o valor de sua proposta.</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w:t>
      </w:r>
      <w:r>
        <w:rPr>
          <w:rFonts w:hint="default" w:ascii="Arial" w:hAnsi="Arial" w:cs="Arial"/>
          <w:color w:val="000000"/>
          <w:sz w:val="21"/>
          <w:szCs w:val="21"/>
          <w:lang w:val="pt-BR" w:eastAsia="en-US"/>
        </w:rPr>
        <w:t>n.°</w:t>
      </w:r>
      <w:r>
        <w:rPr>
          <w:rFonts w:hint="default" w:ascii="Arial" w:hAnsi="Arial" w:cs="Arial"/>
          <w:color w:val="000000"/>
          <w:sz w:val="21"/>
          <w:szCs w:val="21"/>
          <w:lang w:eastAsia="en-US"/>
        </w:rPr>
        <w:t xml:space="preserve"> 123, de 2006, regulamentada pelo Decreto </w:t>
      </w:r>
      <w:r>
        <w:rPr>
          <w:rFonts w:hint="default" w:ascii="Arial" w:hAnsi="Arial" w:cs="Arial"/>
          <w:color w:val="000000"/>
          <w:sz w:val="21"/>
          <w:szCs w:val="21"/>
          <w:lang w:val="pt-BR" w:eastAsia="en-US"/>
        </w:rPr>
        <w:t>n.°</w:t>
      </w:r>
      <w:r>
        <w:rPr>
          <w:rFonts w:hint="default" w:ascii="Arial" w:hAnsi="Arial" w:cs="Arial"/>
          <w:color w:val="000000"/>
          <w:sz w:val="21"/>
          <w:szCs w:val="21"/>
          <w:lang w:eastAsia="en-US"/>
        </w:rPr>
        <w:t xml:space="preserve"> 8.538, de 2015.</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Nessas condições, as propostas de microempresas e empresas de pequeno porte que se encontrarem na faixa de até 5% (cinco por cento) acima da melhor proposta ou melhor lance  serão consideradas empatadas com a primeira colocada.</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Só poderá haver empate entre propostas iguais (não seguidas de lances), ou entre lances finais da fase fechada do modo de disputa aberto e fechado.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Havendo eventual empate entre propostas ou lances, o critério de desempate será aquele previsto no art. 3º, § 2º, da Lei </w:t>
      </w:r>
      <w:r>
        <w:rPr>
          <w:rFonts w:hint="default" w:ascii="Arial" w:hAnsi="Arial" w:cs="Arial"/>
          <w:color w:val="000000"/>
          <w:sz w:val="21"/>
          <w:szCs w:val="21"/>
          <w:lang w:val="pt-BR" w:eastAsia="en-US"/>
        </w:rPr>
        <w:t>n.°</w:t>
      </w:r>
      <w:r>
        <w:rPr>
          <w:rFonts w:hint="default" w:ascii="Arial" w:hAnsi="Arial" w:cs="Arial"/>
          <w:color w:val="000000"/>
          <w:sz w:val="21"/>
          <w:szCs w:val="21"/>
          <w:lang w:eastAsia="en-US"/>
        </w:rPr>
        <w:t xml:space="preserve"> 8.666, de 1993, assegurando-se a preferência, sucessivamente, aos bens produzidos:</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no pais;</w:t>
      </w:r>
    </w:p>
    <w:p>
      <w:pPr>
        <w:pStyle w:val="22"/>
        <w:numPr>
          <w:ilvl w:val="2"/>
          <w:numId w:val="2"/>
        </w:numPr>
        <w:spacing w:before="120" w:after="120" w:line="276" w:lineRule="auto"/>
        <w:contextualSpacing w:val="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por empresas brasileiras; </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por empresas que invistam em pesquisa e no desenvolvimento de tecnologia no País;</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por empresas que comprovem cumprimento de reserva de cargos prevista em lei para pessoa com deficiência ou para reabilitado da Previdência Social e que atendam às regras de acessibilidade previstas na legislação.</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Persistindo o empate, a proposta vencedora será sorteada pelo sistema eletrônico dentre as propostas ou os lances empatados.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A negociação será realizada por meio do sistema, podendo ser acompanhada pelos demais licitantes.</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O pregoeiro solicitará ao licitante melhor classificado que, no prazo de</w:t>
      </w:r>
      <w:r>
        <w:rPr>
          <w:rFonts w:hint="default" w:ascii="Arial" w:hAnsi="Arial" w:cs="Arial"/>
          <w:color w:val="000000"/>
          <w:sz w:val="21"/>
          <w:szCs w:val="21"/>
          <w:lang w:val="pt-BR" w:eastAsia="en-US"/>
        </w:rPr>
        <w:t xml:space="preserve"> </w:t>
      </w:r>
      <w:r>
        <w:rPr>
          <w:rFonts w:hint="default" w:ascii="Arial" w:hAnsi="Arial" w:cs="Arial"/>
          <w:b/>
          <w:bCs/>
          <w:i/>
          <w:iCs/>
          <w:color w:val="000000"/>
          <w:sz w:val="21"/>
          <w:szCs w:val="21"/>
          <w:lang w:val="pt-BR" w:eastAsia="en-US"/>
        </w:rPr>
        <w:t xml:space="preserve">2 </w:t>
      </w:r>
      <w:r>
        <w:rPr>
          <w:rFonts w:hint="default" w:ascii="Arial" w:hAnsi="Arial" w:cs="Arial"/>
          <w:b/>
          <w:bCs/>
          <w:i/>
          <w:iCs/>
          <w:color w:val="000000"/>
          <w:sz w:val="21"/>
          <w:szCs w:val="21"/>
          <w:lang w:eastAsia="en-US"/>
        </w:rPr>
        <w:t>(</w:t>
      </w:r>
      <w:r>
        <w:rPr>
          <w:rFonts w:hint="default" w:ascii="Arial" w:hAnsi="Arial" w:cs="Arial"/>
          <w:b/>
          <w:bCs/>
          <w:i/>
          <w:iCs/>
          <w:color w:val="000000"/>
          <w:sz w:val="21"/>
          <w:szCs w:val="21"/>
          <w:lang w:val="pt-BR" w:eastAsia="en-US"/>
        </w:rPr>
        <w:t>duas</w:t>
      </w:r>
      <w:r>
        <w:rPr>
          <w:rFonts w:hint="default" w:ascii="Arial" w:hAnsi="Arial" w:cs="Arial"/>
          <w:b/>
          <w:bCs/>
          <w:i/>
          <w:iCs/>
          <w:color w:val="000000"/>
          <w:sz w:val="21"/>
          <w:szCs w:val="21"/>
          <w:lang w:eastAsia="en-US"/>
        </w:rPr>
        <w:t>) horas</w:t>
      </w:r>
      <w:r>
        <w:rPr>
          <w:rFonts w:hint="default" w:ascii="Arial" w:hAnsi="Arial" w:cs="Arial"/>
          <w:color w:val="000000"/>
          <w:sz w:val="21"/>
          <w:szCs w:val="21"/>
          <w:lang w:eastAsia="en-US"/>
        </w:rPr>
        <w:t xml:space="preserve">, envie a proposta adequada ao último lance ofertado após a negociação realizada, acompanhada, se for o caso, dos documentos complementares, quando necessários à confirmação daqueles exigidos neste Edital e já apresentados.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Após a negociação do preço, o Pregoeiro iniciará a fase de aceitação e julgamento da proposta.</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val="pt-BR" w:eastAsia="en-US"/>
        </w:rPr>
        <w:t>Omissis</w:t>
      </w:r>
      <w:r>
        <w:rPr>
          <w:rStyle w:val="18"/>
          <w:rFonts w:hint="default" w:ascii="Arial" w:hAnsi="Arial" w:cs="Arial"/>
          <w:color w:val="000000"/>
          <w:sz w:val="21"/>
          <w:szCs w:val="21"/>
          <w:lang w:val="pt-BR" w:eastAsia="en-US"/>
        </w:rPr>
        <w:footnoteReference w:id="1"/>
      </w:r>
    </w:p>
    <w:p>
      <w:pPr>
        <w:numPr>
          <w:ilvl w:val="0"/>
          <w:numId w:val="0"/>
        </w:numPr>
        <w:spacing w:before="120" w:after="120" w:line="276" w:lineRule="auto"/>
        <w:ind w:left="425" w:leftChars="0"/>
        <w:jc w:val="both"/>
        <w:rPr>
          <w:rFonts w:hint="default" w:ascii="Arial" w:hAnsi="Arial" w:cs="Arial"/>
          <w:color w:val="000000"/>
          <w:sz w:val="21"/>
          <w:szCs w:val="21"/>
          <w:lang w:eastAsia="en-US"/>
        </w:rPr>
      </w:pPr>
    </w:p>
    <w:p>
      <w:pPr>
        <w:pStyle w:val="37"/>
        <w:ind w:left="0" w:firstLine="0"/>
        <w:rPr>
          <w:rFonts w:hint="default" w:ascii="Arial" w:hAnsi="Arial" w:cs="Arial"/>
          <w:color w:val="auto"/>
          <w:sz w:val="21"/>
          <w:szCs w:val="21"/>
        </w:rPr>
      </w:pPr>
      <w:r>
        <w:rPr>
          <w:rFonts w:hint="default" w:ascii="Arial" w:hAnsi="Arial" w:cs="Arial"/>
          <w:color w:val="auto"/>
          <w:sz w:val="21"/>
          <w:szCs w:val="21"/>
          <w:lang w:eastAsia="en-US"/>
        </w:rPr>
        <w:t>DA ACEITABILIDADE DA PROPOSTA VENCEDORA.</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Encerrada a etapa de negociação, o pregoeiro examinará a proposta classificada em primeiro lugar quanto à adequação ao objeto e à compatibilidade do preço em relação ao estimado pela Administração, observado o disposto no parágrafo único do art. 7º, no § 9º do art. 26 do Decreto </w:t>
      </w:r>
      <w:r>
        <w:rPr>
          <w:rFonts w:hint="default" w:ascii="Arial" w:hAnsi="Arial" w:cs="Arial"/>
          <w:color w:val="000000"/>
          <w:sz w:val="21"/>
          <w:szCs w:val="21"/>
          <w:lang w:val="pt-BR" w:eastAsia="en-US"/>
        </w:rPr>
        <w:t>n.°</w:t>
      </w:r>
      <w:r>
        <w:rPr>
          <w:rFonts w:hint="default" w:ascii="Arial" w:hAnsi="Arial" w:cs="Arial"/>
          <w:color w:val="000000"/>
          <w:sz w:val="21"/>
          <w:szCs w:val="21"/>
          <w:lang w:eastAsia="en-US"/>
        </w:rPr>
        <w:t xml:space="preserve">º 10.024/2019 e no §3º do art. 4º-E da Lei </w:t>
      </w:r>
      <w:r>
        <w:rPr>
          <w:rFonts w:hint="default" w:ascii="Arial" w:hAnsi="Arial" w:cs="Arial"/>
          <w:color w:val="000000"/>
          <w:sz w:val="21"/>
          <w:szCs w:val="21"/>
          <w:lang w:val="pt-BR" w:eastAsia="en-US"/>
        </w:rPr>
        <w:t>n.°</w:t>
      </w:r>
      <w:r>
        <w:rPr>
          <w:rFonts w:hint="default" w:ascii="Arial" w:hAnsi="Arial" w:cs="Arial"/>
          <w:color w:val="000000"/>
          <w:sz w:val="21"/>
          <w:szCs w:val="21"/>
          <w:lang w:eastAsia="en-US"/>
        </w:rPr>
        <w:t xml:space="preserve"> 13.979/20.</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O licitante qualificado como produtor rural pessoa física deverá incluir, na sua proposta, os percentuais das contribuições previstas no art. 176 da Instrução Normativa RFB </w:t>
      </w:r>
      <w:r>
        <w:rPr>
          <w:rFonts w:hint="default" w:ascii="Arial" w:hAnsi="Arial" w:cs="Arial"/>
          <w:color w:val="000000"/>
          <w:sz w:val="21"/>
          <w:szCs w:val="21"/>
          <w:lang w:val="pt-BR" w:eastAsia="en-US"/>
        </w:rPr>
        <w:t>n.°</w:t>
      </w:r>
      <w:r>
        <w:rPr>
          <w:rFonts w:hint="default" w:ascii="Arial" w:hAnsi="Arial" w:cs="Arial"/>
          <w:color w:val="000000"/>
          <w:sz w:val="21"/>
          <w:szCs w:val="21"/>
          <w:lang w:eastAsia="en-US"/>
        </w:rPr>
        <w:t xml:space="preserve"> 971, de 2009, em razão do disposto no art. 184, inciso V, sob pena de desclassificação.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Será desclassificada a proposta ou o lance vencedor que apresentar preço final incompatível com o estimado pela Administração, ou que apresentar preço manifestamente inexequível.</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Qualquer interessado poderá requerer que se realizem diligências para aferir a exequibilidade e a legalidade das propostas, devendo apresentar as provas ou os indícios que fundamentam a suspeita;</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Na hipótese de necessidade de suspensão da sessão pública para a realização de diligências, com vistas ao saneamento das propostas, a sessão pública somente poderá ser reiniciada mediante aviso prévio no sistema com, no mínimo, doze horas de antecedência, e a ocorrência será registrada em ata;</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O Pregoeiro poderá convocar o licitante para enviar documento digital complementar, por meio de funcionalidade disponível no sistema, no prazo de </w:t>
      </w:r>
      <w:r>
        <w:rPr>
          <w:rFonts w:hint="default" w:ascii="Arial" w:hAnsi="Arial" w:cs="Arial"/>
          <w:b/>
          <w:bCs/>
          <w:i/>
          <w:iCs/>
          <w:color w:val="000000"/>
          <w:sz w:val="21"/>
          <w:szCs w:val="21"/>
          <w:lang w:val="pt-BR" w:eastAsia="en-US"/>
        </w:rPr>
        <w:t>2 (duas) horas</w:t>
      </w:r>
      <w:r>
        <w:rPr>
          <w:rFonts w:hint="default" w:ascii="Arial" w:hAnsi="Arial" w:cs="Arial"/>
          <w:color w:val="000000"/>
          <w:sz w:val="21"/>
          <w:szCs w:val="21"/>
          <w:lang w:eastAsia="en-US"/>
        </w:rPr>
        <w:t>,</w:t>
      </w:r>
      <w:r>
        <w:rPr>
          <w:rFonts w:hint="default" w:ascii="Arial" w:hAnsi="Arial" w:cs="Arial"/>
          <w:color w:val="000000"/>
          <w:sz w:val="21"/>
          <w:szCs w:val="21"/>
          <w:lang w:val="pt-BR" w:eastAsia="en-US"/>
        </w:rPr>
        <w:t xml:space="preserve"> </w:t>
      </w:r>
      <w:r>
        <w:rPr>
          <w:rFonts w:hint="default" w:ascii="Arial" w:hAnsi="Arial" w:cs="Arial"/>
          <w:color w:val="000000"/>
          <w:sz w:val="21"/>
          <w:szCs w:val="21"/>
          <w:lang w:eastAsia="en-US"/>
        </w:rPr>
        <w:t>sob pena de não aceitação da proposta.</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É facultado ao pregoeiro prorrogar o prazo estabelecido, a partir de solicitação fundamentada feita no chat pelo licitante, antes de findo o prazo. </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val="pt-BR" w:eastAsia="en-US"/>
        </w:rPr>
        <w:t>Omissis</w:t>
      </w:r>
      <w:r>
        <w:rPr>
          <w:rStyle w:val="18"/>
          <w:rFonts w:hint="default" w:ascii="Arial" w:hAnsi="Arial" w:cs="Arial"/>
          <w:color w:val="000000"/>
          <w:sz w:val="21"/>
          <w:szCs w:val="21"/>
          <w:lang w:val="pt-BR" w:eastAsia="en-US"/>
        </w:rPr>
        <w:footnoteReference w:id="2"/>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Se a proposta ou lance vencedor for desclassificado, o Pregoeiro examinará a proposta ou lance subsequente, e, assim sucessivamente, na ordem de classificação.</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Havendo necessidade, o Pregoeiro suspenderá a sessão, informando no “chat” a nova data e horário para a sua continuidade.</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Também nas hipóteses em que o Pregoeiro não aceitar a proposta e passar à subsequente, poderá negociar com o licitante para que seja obtido preço melhor.</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A negociação será realizada por meio do sistema, podendo ser acompanhada pelos demais licitantes.</w:t>
      </w:r>
    </w:p>
    <w:p>
      <w:pPr>
        <w:numPr>
          <w:ilvl w:val="1"/>
          <w:numId w:val="2"/>
        </w:numPr>
        <w:spacing w:before="120" w:after="120" w:line="276" w:lineRule="auto"/>
        <w:ind w:left="425"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 123, de 2006, seguindo-se a disciplina antes estabelecida, se for o caso.</w:t>
      </w:r>
    </w:p>
    <w:p>
      <w:pPr>
        <w:numPr>
          <w:ilvl w:val="1"/>
          <w:numId w:val="2"/>
        </w:numPr>
        <w:spacing w:before="120" w:after="120" w:line="276" w:lineRule="auto"/>
        <w:ind w:left="425"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Encerrada a análise quanto à aceitação da proposta, o pregoeiro verificará a habilitação do licitante, observado o disposto neste Edital. </w:t>
      </w:r>
    </w:p>
    <w:p>
      <w:pPr>
        <w:numPr>
          <w:ilvl w:val="0"/>
          <w:numId w:val="0"/>
        </w:numPr>
        <w:spacing w:before="120" w:after="120" w:line="276" w:lineRule="auto"/>
        <w:ind w:left="425" w:leftChars="0"/>
        <w:jc w:val="both"/>
        <w:rPr>
          <w:rFonts w:hint="default" w:ascii="Arial" w:hAnsi="Arial" w:cs="Arial"/>
          <w:color w:val="000000"/>
          <w:sz w:val="21"/>
          <w:szCs w:val="21"/>
          <w:lang w:val="pt-BR" w:eastAsia="en-US"/>
        </w:rPr>
      </w:pPr>
    </w:p>
    <w:p>
      <w:pPr>
        <w:pStyle w:val="37"/>
        <w:ind w:left="0" w:firstLine="0"/>
        <w:rPr>
          <w:rFonts w:hint="default" w:ascii="Arial" w:hAnsi="Arial" w:cs="Arial"/>
          <w:sz w:val="21"/>
          <w:szCs w:val="21"/>
        </w:rPr>
      </w:pPr>
      <w:r>
        <w:rPr>
          <w:rFonts w:hint="default" w:ascii="Arial" w:hAnsi="Arial" w:cs="Arial"/>
          <w:sz w:val="21"/>
          <w:szCs w:val="21"/>
          <w:lang w:eastAsia="en-US"/>
        </w:rPr>
        <w:t xml:space="preserve">DA HABILITAÇÃO  </w:t>
      </w:r>
    </w:p>
    <w:p>
      <w:pPr>
        <w:numPr>
          <w:ilvl w:val="1"/>
          <w:numId w:val="2"/>
        </w:numPr>
        <w:spacing w:before="120" w:after="120" w:line="276" w:lineRule="auto"/>
        <w:ind w:left="425"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pPr>
        <w:pStyle w:val="22"/>
        <w:spacing w:before="120" w:after="120" w:line="276" w:lineRule="auto"/>
        <w:ind w:left="1134"/>
        <w:jc w:val="both"/>
        <w:rPr>
          <w:rFonts w:hint="default" w:ascii="Arial" w:hAnsi="Arial" w:cs="Arial"/>
          <w:sz w:val="21"/>
          <w:szCs w:val="21"/>
          <w:lang w:eastAsia="ar-SA"/>
        </w:rPr>
      </w:pPr>
      <w:r>
        <w:rPr>
          <w:rFonts w:hint="default" w:ascii="Arial" w:hAnsi="Arial" w:cs="Arial"/>
          <w:sz w:val="21"/>
          <w:szCs w:val="21"/>
          <w:lang w:eastAsia="ar-SA"/>
        </w:rPr>
        <w:t xml:space="preserve">a) SICAF;  </w:t>
      </w:r>
    </w:p>
    <w:p>
      <w:pPr>
        <w:pStyle w:val="22"/>
        <w:spacing w:before="120" w:after="120" w:line="276" w:lineRule="auto"/>
        <w:ind w:left="1134"/>
        <w:jc w:val="both"/>
        <w:rPr>
          <w:rFonts w:hint="default" w:ascii="Arial" w:hAnsi="Arial" w:cs="Arial"/>
          <w:sz w:val="21"/>
          <w:szCs w:val="21"/>
          <w:lang w:eastAsia="ar-SA"/>
        </w:rPr>
      </w:pPr>
      <w:r>
        <w:rPr>
          <w:rFonts w:hint="default" w:ascii="Arial" w:hAnsi="Arial" w:cs="Arial"/>
          <w:sz w:val="21"/>
          <w:szCs w:val="21"/>
          <w:lang w:eastAsia="ar-SA"/>
        </w:rPr>
        <w:t>b) Cadastro Nacional de Empresas Inidôneas e Suspensas - CEIS, mantido pela Controladoria-Geral da União (</w:t>
      </w:r>
      <w:r>
        <w:rPr>
          <w:rFonts w:hint="default" w:ascii="Arial" w:hAnsi="Arial" w:cs="Arial"/>
          <w:sz w:val="21"/>
          <w:szCs w:val="21"/>
        </w:rPr>
        <w:fldChar w:fldCharType="begin"/>
      </w:r>
      <w:r>
        <w:rPr>
          <w:rFonts w:hint="default" w:ascii="Arial" w:hAnsi="Arial" w:cs="Arial"/>
          <w:sz w:val="21"/>
          <w:szCs w:val="21"/>
        </w:rPr>
        <w:instrText xml:space="preserve"> HYPERLINK "http://www.portaldatransparencia.gov.br/ceis" </w:instrText>
      </w:r>
      <w:r>
        <w:rPr>
          <w:rFonts w:hint="default" w:ascii="Arial" w:hAnsi="Arial" w:cs="Arial"/>
          <w:sz w:val="21"/>
          <w:szCs w:val="21"/>
        </w:rPr>
        <w:fldChar w:fldCharType="separate"/>
      </w:r>
      <w:r>
        <w:rPr>
          <w:rStyle w:val="19"/>
          <w:rFonts w:hint="default" w:ascii="Arial" w:hAnsi="Arial" w:cs="Arial"/>
          <w:sz w:val="21"/>
          <w:szCs w:val="21"/>
          <w:lang w:eastAsia="ar-SA"/>
        </w:rPr>
        <w:t>www.portaldatransparencia.gov.br/ceis</w:t>
      </w:r>
      <w:r>
        <w:rPr>
          <w:rStyle w:val="19"/>
          <w:rFonts w:hint="default" w:ascii="Arial" w:hAnsi="Arial" w:cs="Arial"/>
          <w:sz w:val="21"/>
          <w:szCs w:val="21"/>
          <w:lang w:eastAsia="ar-SA"/>
        </w:rPr>
        <w:fldChar w:fldCharType="end"/>
      </w:r>
      <w:r>
        <w:rPr>
          <w:rFonts w:hint="default" w:ascii="Arial" w:hAnsi="Arial" w:cs="Arial"/>
          <w:sz w:val="21"/>
          <w:szCs w:val="21"/>
          <w:lang w:eastAsia="ar-SA"/>
        </w:rPr>
        <w:t xml:space="preserve">);  </w:t>
      </w:r>
    </w:p>
    <w:p>
      <w:pPr>
        <w:pStyle w:val="22"/>
        <w:spacing w:before="120" w:after="120" w:line="276" w:lineRule="auto"/>
        <w:ind w:left="1134"/>
        <w:jc w:val="both"/>
        <w:rPr>
          <w:rFonts w:hint="default" w:ascii="Arial" w:hAnsi="Arial" w:cs="Arial"/>
          <w:sz w:val="21"/>
          <w:szCs w:val="21"/>
          <w:lang w:eastAsia="ar-SA"/>
        </w:rPr>
      </w:pPr>
      <w:r>
        <w:rPr>
          <w:rFonts w:hint="default" w:ascii="Arial" w:hAnsi="Arial" w:cs="Arial"/>
          <w:sz w:val="21"/>
          <w:szCs w:val="21"/>
          <w:lang w:eastAsia="ar-SA"/>
        </w:rPr>
        <w:t>c) Cadastro Nacional de Condenações Cíveis por Atos de Improbidade Administrativa, mantido pelo Conselho Nacional de Justiça (</w:t>
      </w:r>
      <w:r>
        <w:rPr>
          <w:rFonts w:hint="default" w:ascii="Arial" w:hAnsi="Arial" w:cs="Arial"/>
          <w:sz w:val="21"/>
          <w:szCs w:val="21"/>
        </w:rPr>
        <w:fldChar w:fldCharType="begin"/>
      </w:r>
      <w:r>
        <w:rPr>
          <w:rFonts w:hint="default" w:ascii="Arial" w:hAnsi="Arial" w:cs="Arial"/>
          <w:sz w:val="21"/>
          <w:szCs w:val="21"/>
        </w:rPr>
        <w:instrText xml:space="preserve"> HYPERLINK "http://www.cnj.jus.br/improbidade_adm/consultar_requerido.php" </w:instrText>
      </w:r>
      <w:r>
        <w:rPr>
          <w:rFonts w:hint="default" w:ascii="Arial" w:hAnsi="Arial" w:cs="Arial"/>
          <w:sz w:val="21"/>
          <w:szCs w:val="21"/>
        </w:rPr>
        <w:fldChar w:fldCharType="separate"/>
      </w:r>
      <w:r>
        <w:rPr>
          <w:rStyle w:val="19"/>
          <w:rFonts w:hint="default" w:ascii="Arial" w:hAnsi="Arial" w:cs="Arial"/>
          <w:sz w:val="21"/>
          <w:szCs w:val="21"/>
          <w:lang w:eastAsia="ar-SA"/>
        </w:rPr>
        <w:t>www.cnj.jus.br/improbidade_adm/consultar_requerido.php</w:t>
      </w:r>
      <w:r>
        <w:rPr>
          <w:rStyle w:val="19"/>
          <w:rFonts w:hint="default" w:ascii="Arial" w:hAnsi="Arial" w:cs="Arial"/>
          <w:sz w:val="21"/>
          <w:szCs w:val="21"/>
          <w:lang w:eastAsia="ar-SA"/>
        </w:rPr>
        <w:fldChar w:fldCharType="end"/>
      </w:r>
      <w:r>
        <w:rPr>
          <w:rFonts w:hint="default" w:ascii="Arial" w:hAnsi="Arial" w:cs="Arial"/>
          <w:sz w:val="21"/>
          <w:szCs w:val="21"/>
          <w:lang w:eastAsia="ar-SA"/>
        </w:rPr>
        <w:t xml:space="preserve">).  </w:t>
      </w:r>
    </w:p>
    <w:p>
      <w:pPr>
        <w:pStyle w:val="22"/>
        <w:spacing w:before="120" w:after="120" w:line="276" w:lineRule="auto"/>
        <w:ind w:left="1134"/>
        <w:jc w:val="both"/>
        <w:rPr>
          <w:rFonts w:hint="default" w:ascii="Arial" w:hAnsi="Arial" w:cs="Arial"/>
          <w:sz w:val="21"/>
          <w:szCs w:val="21"/>
          <w:lang w:eastAsia="ar-SA"/>
        </w:rPr>
      </w:pPr>
      <w:r>
        <w:rPr>
          <w:rFonts w:hint="default" w:ascii="Arial" w:hAnsi="Arial" w:cs="Arial"/>
          <w:sz w:val="21"/>
          <w:szCs w:val="21"/>
          <w:lang w:eastAsia="ar-SA"/>
        </w:rPr>
        <w:t xml:space="preserve">d) Lista de Inidôneos e o Cadastro Integrado de Condenações por Ilícitos Administrativos - CADICON, mantidos pelo Tribunal de Contas da União - TCU; </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Para a consulta de licitantes pessoa jurídica poderá haver a substituição das consultas das alíneas “b”, “c” e “d” acima pela Consulta Consolidada de Pessoa Jurídica do TCU (https://certidoesapf.apps.tcu.gov.br/)</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numPr>
          <w:ilvl w:val="3"/>
          <w:numId w:val="2"/>
        </w:numPr>
        <w:spacing w:before="120" w:after="120" w:line="276" w:lineRule="auto"/>
        <w:ind w:left="126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Caso conste na Consulta de Situação do Fornecedor a existência de Ocorrências Impeditivas Indiretas, o gestor diligenciará para verificar se houve fraude por parte das empresas apontadas no Relatório de Ocorrências Impeditivas Indiretas.</w:t>
      </w:r>
    </w:p>
    <w:p>
      <w:pPr>
        <w:numPr>
          <w:ilvl w:val="3"/>
          <w:numId w:val="2"/>
        </w:numPr>
        <w:spacing w:before="120" w:after="120" w:line="276" w:lineRule="auto"/>
        <w:ind w:left="126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A tentativa de burla será verificada por meio dos vínculos societários, linhas de fornecimento similares, dentre outros.</w:t>
      </w:r>
    </w:p>
    <w:p>
      <w:pPr>
        <w:numPr>
          <w:ilvl w:val="3"/>
          <w:numId w:val="2"/>
        </w:numPr>
        <w:spacing w:before="120" w:after="120" w:line="276" w:lineRule="auto"/>
        <w:ind w:left="126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O licitante será convocado para manifestação previamente à sua desclassificação.</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Constatada a existência de sanção, o Pregoeiro reputará o licitante inabilitado, por falta de condição de participação.</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No caso de inabilitação, haverá nova verificação, pelo sistema, da eventual ocorrência do empate ficto, previsto nos arts. 44 e 45 da Lei Complementar n.° 123, de 2006, seguindo-se a disciplina antes estabelecida para aceitação da proposta subsequente.</w:t>
      </w:r>
    </w:p>
    <w:p>
      <w:pPr>
        <w:numPr>
          <w:ilvl w:val="1"/>
          <w:numId w:val="2"/>
        </w:numPr>
        <w:spacing w:before="120" w:after="120" w:line="276" w:lineRule="auto"/>
        <w:ind w:left="425"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 xml:space="preserve"> Caso atendidas as condições de participação, a habilitação dos licitantes será verificada por meio do SICAF, nos documentos por ele abrangidos em relação à habilitação jurídica, à regularidade fiscal e trabalhista, à qualificação econômica financeira e habilitação técnica, conforme o disposto na Instrução Normativa SEGES/MP n.° 03, de 2018.</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O interessado, para efeitos de habilitação prevista na Instrução Normativa SEGES/MP n.° 03, de 2018 mediante utilização do sistema, deverá atender às condições exigidas no cadastramento no SICAF até o terceiro dia útil anterior à data prevista para recebimento das propostas;</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É dever do licitante atualizar previamente as comprovações constantes do SICAF para que estejam vigentes na data da abertura da sessão pública, ou encaminhar, em conjunto com a apresentação da proposta, a respectiva documentação atualizada.</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O descumprimento do subitem acima implicará a inabilitação do licitante, exceto se a consulta aos sítios eletrônicos oficiais emissores de certidões feita pelo Pregoeiro lograr êxito em encontrar a(s) certidão(ões) válida(s), conforme art. 43, §3º, do Decreto 10.024, de 2019.</w:t>
      </w:r>
    </w:p>
    <w:p>
      <w:pPr>
        <w:numPr>
          <w:ilvl w:val="1"/>
          <w:numId w:val="2"/>
        </w:numPr>
        <w:spacing w:before="120" w:after="120" w:line="276" w:lineRule="auto"/>
        <w:ind w:left="425"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 xml:space="preserve">Havendo a necessidade de envio de documentos de habilitação complementares, necessários à confirmação daqueles exigidos neste Edital e já apresentados, o licitante será convocado a encaminhá-los, em formato digital, via sistema, no prazo de </w:t>
      </w:r>
      <w:r>
        <w:rPr>
          <w:rFonts w:hint="default" w:ascii="Arial" w:hAnsi="Arial" w:cs="Arial"/>
          <w:b/>
          <w:bCs/>
          <w:i/>
          <w:iCs/>
          <w:color w:val="000000"/>
          <w:sz w:val="21"/>
          <w:szCs w:val="21"/>
          <w:lang w:val="pt-BR" w:eastAsia="ar-SA"/>
        </w:rPr>
        <w:t>2 (duas) horas</w:t>
      </w:r>
      <w:r>
        <w:rPr>
          <w:rFonts w:hint="default" w:ascii="Arial" w:hAnsi="Arial" w:cs="Arial"/>
          <w:color w:val="000000"/>
          <w:sz w:val="21"/>
          <w:szCs w:val="21"/>
          <w:lang w:val="pt-BR" w:eastAsia="ar-SA"/>
        </w:rPr>
        <w:t>, sob pena de inabilitação.</w:t>
      </w:r>
    </w:p>
    <w:p>
      <w:pPr>
        <w:numPr>
          <w:ilvl w:val="1"/>
          <w:numId w:val="2"/>
        </w:numPr>
        <w:spacing w:before="120" w:after="120" w:line="276" w:lineRule="auto"/>
        <w:ind w:left="425"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Somente haverá a necessidade de comprovação do preenchimento de requisitos mediante apresentação dos documentos originais não-digitais quando houver dúvida em relação à integridade do documento digital.</w:t>
      </w:r>
    </w:p>
    <w:p>
      <w:pPr>
        <w:numPr>
          <w:ilvl w:val="1"/>
          <w:numId w:val="2"/>
        </w:numPr>
        <w:spacing w:before="120" w:after="120" w:line="276" w:lineRule="auto"/>
        <w:ind w:left="425"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Não serão aceitos documentos de habilitação com indicação de CNPJ/CPF diferentes, salvo aqueles legalmente permitidos.</w:t>
      </w:r>
    </w:p>
    <w:p>
      <w:pPr>
        <w:numPr>
          <w:ilvl w:val="1"/>
          <w:numId w:val="2"/>
        </w:numPr>
        <w:spacing w:before="120" w:after="120" w:line="276" w:lineRule="auto"/>
        <w:ind w:left="425"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Serão aceitos registros de CNPJ de licitante matriz e filial com diferenças de números de documentos pertinentes ao CND e ao CRF/FGTS, quando for comprovada a centralização do recolhimento dessas contribuições.</w:t>
      </w:r>
    </w:p>
    <w:p>
      <w:pPr>
        <w:numPr>
          <w:ilvl w:val="1"/>
          <w:numId w:val="2"/>
        </w:numPr>
        <w:spacing w:before="120" w:after="120" w:line="276" w:lineRule="auto"/>
        <w:ind w:left="425"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Ressalvado o disposto no item 5.3, os licitantes deverão encaminhar, nos termos deste Edital, a documentação relacionada nos itens a seguir, para fins de habilitação:</w:t>
      </w:r>
    </w:p>
    <w:p>
      <w:pPr>
        <w:numPr>
          <w:ilvl w:val="1"/>
          <w:numId w:val="2"/>
        </w:numPr>
        <w:spacing w:before="120" w:after="120" w:line="276" w:lineRule="auto"/>
        <w:ind w:left="425" w:firstLine="0"/>
        <w:jc w:val="both"/>
        <w:rPr>
          <w:rFonts w:hint="default" w:ascii="Arial" w:hAnsi="Arial" w:cs="Arial"/>
          <w:b/>
          <w:bCs/>
          <w:color w:val="000000"/>
          <w:sz w:val="21"/>
          <w:szCs w:val="21"/>
          <w:lang w:val="pt-BR" w:eastAsia="ar-SA"/>
        </w:rPr>
      </w:pPr>
      <w:r>
        <w:rPr>
          <w:rFonts w:hint="default" w:ascii="Arial" w:hAnsi="Arial" w:cs="Arial"/>
          <w:b/>
          <w:bCs/>
          <w:color w:val="000000"/>
          <w:sz w:val="21"/>
          <w:szCs w:val="21"/>
          <w:lang w:val="pt-BR" w:eastAsia="ar-SA"/>
        </w:rPr>
        <w:t xml:space="preserve">Habilitação jurídica: </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No caso de empresário individual: inscrição no Registro Público de Empresas Mercantis, a cargo da Junta Comercial da respectiva sede;</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Em se tratando de microempreendedor individual – MEI: Certificado da Condição de Microempreendedor Individual - CCMEI, cuja aceitação ficará condicionada à verificação da autenticidade no sítio www.portaldoempreendedor.gov.br;</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inscrição no Registro Público de Empresas Mercantis onde opera, com averbação no Registro onde tem sede a matriz, no caso de ser o participante sucursal, filial ou agência;</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No caso de sociedade simples: inscrição do ato constitutivo no Registro Civil das Pessoas Jurídicas do local de sua sede, acompanhada de prova da indicação dos seus administradores;</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No caso de cooperativa: ata de fundação e estatuto social em vigor, com a ata da assembleia que o aprovou, devidamente arquivado na Junta Comercial ou inscrito no Registro Civil das Pessoas Jurídicas da respectiva sede, bem como o registro de que trata o art. 107 da Lei n.° 5.764, de 1971;</w:t>
      </w:r>
    </w:p>
    <w:p>
      <w:pPr>
        <w:numPr>
          <w:ilvl w:val="2"/>
          <w:numId w:val="2"/>
        </w:numPr>
        <w:spacing w:before="120" w:after="120" w:line="276" w:lineRule="auto"/>
        <w:ind w:left="845" w:leftChars="0" w:firstLine="0"/>
        <w:jc w:val="both"/>
        <w:rPr>
          <w:rFonts w:hint="default" w:ascii="Arial" w:hAnsi="Arial" w:cs="Arial"/>
          <w:i/>
          <w:iCs/>
          <w:color w:val="000000"/>
          <w:sz w:val="21"/>
          <w:szCs w:val="21"/>
          <w:lang w:val="pt-BR" w:eastAsia="ar-SA"/>
        </w:rPr>
      </w:pPr>
      <w:r>
        <w:rPr>
          <w:rFonts w:hint="default" w:ascii="Arial" w:hAnsi="Arial" w:cs="Arial"/>
          <w:i/>
          <w:iCs/>
          <w:color w:val="000000"/>
          <w:sz w:val="21"/>
          <w:szCs w:val="21"/>
          <w:lang w:val="pt-BR" w:eastAsia="ar-SA"/>
        </w:rPr>
        <w:t>Omissis</w:t>
      </w:r>
      <w:r>
        <w:rPr>
          <w:rStyle w:val="18"/>
          <w:rFonts w:hint="default" w:ascii="Arial" w:hAnsi="Arial" w:cs="Arial"/>
          <w:i/>
          <w:iCs/>
          <w:color w:val="000000"/>
          <w:sz w:val="21"/>
          <w:szCs w:val="21"/>
          <w:lang w:val="pt-BR" w:eastAsia="ar-SA"/>
        </w:rPr>
        <w:footnoteReference w:id="3"/>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No caso de empresa ou sociedade estrangeira em funcionamento no País: decreto de autorização;</w:t>
      </w:r>
    </w:p>
    <w:p>
      <w:pPr>
        <w:numPr>
          <w:ilvl w:val="2"/>
          <w:numId w:val="2"/>
        </w:numPr>
        <w:spacing w:before="120" w:after="120" w:line="276" w:lineRule="auto"/>
        <w:ind w:left="845" w:leftChars="0" w:firstLine="0"/>
        <w:jc w:val="both"/>
        <w:rPr>
          <w:rFonts w:hint="default" w:ascii="Arial" w:hAnsi="Arial" w:cs="Arial"/>
          <w:i/>
          <w:iCs/>
          <w:color w:val="000000"/>
          <w:sz w:val="21"/>
          <w:szCs w:val="21"/>
          <w:lang w:val="pt-BR" w:eastAsia="ar-SA"/>
        </w:rPr>
      </w:pPr>
      <w:r>
        <w:rPr>
          <w:rFonts w:hint="default" w:ascii="Arial" w:hAnsi="Arial" w:cs="Arial"/>
          <w:i/>
          <w:iCs/>
          <w:color w:val="000000"/>
          <w:sz w:val="21"/>
          <w:szCs w:val="21"/>
          <w:lang w:val="pt-BR" w:eastAsia="ar-SA"/>
        </w:rPr>
        <w:t>Omissis</w:t>
      </w:r>
      <w:r>
        <w:rPr>
          <w:rStyle w:val="18"/>
          <w:rFonts w:hint="default" w:ascii="Arial" w:hAnsi="Arial" w:cs="Arial"/>
          <w:i/>
          <w:iCs/>
          <w:color w:val="000000"/>
          <w:sz w:val="21"/>
          <w:szCs w:val="21"/>
          <w:lang w:val="pt-BR" w:eastAsia="ar-SA"/>
        </w:rPr>
        <w:footnoteReference w:id="4"/>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Os documentos acima deverão estar acompanhados de todas as alterações ou da consolidação respectiva;</w:t>
      </w:r>
    </w:p>
    <w:p>
      <w:pPr>
        <w:numPr>
          <w:ilvl w:val="1"/>
          <w:numId w:val="2"/>
        </w:numPr>
        <w:spacing w:before="120" w:after="120" w:line="276" w:lineRule="auto"/>
        <w:ind w:left="425" w:firstLine="0"/>
        <w:jc w:val="both"/>
        <w:rPr>
          <w:rFonts w:hint="default" w:ascii="Arial" w:hAnsi="Arial" w:cs="Arial"/>
          <w:b/>
          <w:bCs/>
          <w:color w:val="000000"/>
          <w:sz w:val="21"/>
          <w:szCs w:val="21"/>
          <w:lang w:val="pt-BR" w:eastAsia="ar-SA"/>
        </w:rPr>
      </w:pPr>
      <w:r>
        <w:rPr>
          <w:rFonts w:hint="default" w:ascii="Arial" w:hAnsi="Arial" w:cs="Arial"/>
          <w:b/>
          <w:bCs/>
          <w:color w:val="000000"/>
          <w:sz w:val="21"/>
          <w:szCs w:val="21"/>
          <w:lang w:val="pt-BR" w:eastAsia="ar-SA"/>
        </w:rPr>
        <w:t>Regularidade fiscal e trabalhista:</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prova de inscrição no Cadastro Nacional de Pessoas Jurídicas ou no Cadastro de Pessoas Físicas, conforme o caso;</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 1.751, de 02/10/2014, do Secretário da Receita Federal do Brasil e da Procuradora-Geral da Fazenda Nacional.</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en-US"/>
        </w:rPr>
        <w:t>prova de regularidade com o Fundo de Garantia do Tempo de Serviço (FGTS);</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en-US"/>
        </w:rPr>
        <w:t>prova de inexistência de débitos inadimplidos perante a justiça do trabalho, mediante a apresentação de certidão negativa ou positiva com efeito de negativa, nos termos do Título VII-A da Consolidação das Leis do Trabalho, aprovada pelo Decreto-Lei n.° 5.452, de 1º de maio de 1943;</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 xml:space="preserve">prova de inscrição no cadastro de contribuintes estadual, relativo ao domicílio ou sede do licitante, pertinente ao seu ramo de atividade e compatível com o objeto contratual; </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 xml:space="preserve"> prova de regularidade com a Fazenda Estadual do domicílio ou sede do licitante, relativa à atividade em cujo exercício contrata ou concorre;</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 xml:space="preserve">caso o licitante seja considerado isento dos tributos estaduais relacionados ao objeto licitatório, deverá comprovar tal condição mediante declaração da Fazenda Estadual do seu domicílio ou sede, ou outra equivalente, na forma da lei; </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en-US"/>
        </w:rPr>
        <w:t>caso o licitante detentor do menor preço seja qualificado como microempresa ou empresa de pequeno porte deverá apresentar toda a documentação exigida para efeito de comprovação de regularidade fiscal, mesmo que esta apresente alguma restrição, sob pena de inabilitação.</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en-US"/>
        </w:rPr>
        <w:t>Omissis</w:t>
      </w:r>
      <w:r>
        <w:rPr>
          <w:rStyle w:val="18"/>
          <w:rFonts w:hint="default" w:ascii="Arial" w:hAnsi="Arial" w:cs="Arial"/>
          <w:color w:val="000000"/>
          <w:sz w:val="21"/>
          <w:szCs w:val="21"/>
          <w:lang w:val="pt-BR" w:eastAsia="en-US"/>
        </w:rPr>
        <w:footnoteReference w:id="5"/>
      </w:r>
    </w:p>
    <w:p>
      <w:pPr>
        <w:numPr>
          <w:ilvl w:val="1"/>
          <w:numId w:val="2"/>
        </w:numPr>
        <w:spacing w:before="120" w:after="120" w:line="276" w:lineRule="auto"/>
        <w:ind w:left="425" w:firstLine="0"/>
        <w:jc w:val="both"/>
        <w:rPr>
          <w:rFonts w:hint="default" w:ascii="Arial" w:hAnsi="Arial" w:cs="Arial"/>
          <w:b/>
          <w:bCs/>
          <w:color w:val="000000"/>
          <w:sz w:val="21"/>
          <w:szCs w:val="21"/>
          <w:lang w:val="pt-BR" w:eastAsia="ar-SA"/>
        </w:rPr>
      </w:pPr>
      <w:r>
        <w:rPr>
          <w:rFonts w:hint="default" w:ascii="Arial" w:hAnsi="Arial" w:cs="Arial"/>
          <w:b/>
          <w:bCs/>
          <w:color w:val="000000"/>
          <w:sz w:val="21"/>
          <w:szCs w:val="21"/>
          <w:lang w:val="pt-BR" w:eastAsia="ar-SA"/>
        </w:rPr>
        <w:t>Qualificação  Econômico-Financeira.</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Omissis</w:t>
      </w:r>
      <w:r>
        <w:rPr>
          <w:rStyle w:val="18"/>
          <w:rFonts w:hint="default" w:ascii="Arial" w:hAnsi="Arial" w:cs="Arial"/>
          <w:color w:val="000000"/>
          <w:sz w:val="21"/>
          <w:szCs w:val="21"/>
          <w:lang w:val="pt-BR" w:eastAsia="en-US"/>
        </w:rPr>
        <w:footnoteReference w:id="6"/>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pPr>
        <w:numPr>
          <w:ilvl w:val="3"/>
          <w:numId w:val="2"/>
        </w:numPr>
        <w:spacing w:before="120" w:after="120" w:line="276" w:lineRule="auto"/>
        <w:ind w:left="126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No caso de fornecimento de bens para pronta entrega, não será exigido da licitante qualificada como microempresa ou empresa de pequeno porte, a apresentação de balanço patrimonial do último exercício financeiro. (Art. 3º do Decreto n.° 8.538, de 2015);</w:t>
      </w:r>
    </w:p>
    <w:p>
      <w:pPr>
        <w:numPr>
          <w:ilvl w:val="3"/>
          <w:numId w:val="2"/>
        </w:numPr>
        <w:spacing w:before="120" w:after="120" w:line="276" w:lineRule="auto"/>
        <w:ind w:left="126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no caso de empresa constituída no exercício social vigente, admite-se a apresentação de balanço patrimonial e demonstrações contábeis referentes ao período de existência da sociedade;</w:t>
      </w:r>
    </w:p>
    <w:p>
      <w:pPr>
        <w:numPr>
          <w:ilvl w:val="3"/>
          <w:numId w:val="2"/>
        </w:numPr>
        <w:spacing w:before="120" w:after="120" w:line="276" w:lineRule="auto"/>
        <w:ind w:left="126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é admissível o balanço intermediário, se decorrer de lei ou contrato social/estatuto social.</w:t>
      </w:r>
    </w:p>
    <w:p>
      <w:pPr>
        <w:numPr>
          <w:ilvl w:val="3"/>
          <w:numId w:val="2"/>
        </w:numPr>
        <w:spacing w:before="120" w:after="120" w:line="276" w:lineRule="auto"/>
        <w:ind w:left="126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Caso o licitante seja cooperativa, tais documentos deverão ser acompanhados da última auditoria contábil-financeira, conforme dispõe o artigo 112 da Lei n.° 5.764, de 1971, ou de uma declaração, sob as penas da lei, de que tal auditoria não foi exigida pelo órgão fiscalizador;</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A comprovação da situação financeira da empresa será constatada mediante obtenção de índices de Liquidez Geral (LG), Solvência Geral (SG) e Liquidez Corrente (LC), superiores a 1 ( um) resultantes da aplicação das fórmulas:</w:t>
      </w:r>
    </w:p>
    <w:tbl>
      <w:tblPr>
        <w:tblStyle w:val="21"/>
        <w:tblW w:w="0" w:type="auto"/>
        <w:tblInd w:w="11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35"/>
        <w:gridCol w:w="54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5" w:type="dxa"/>
            <w:vMerge w:val="restart"/>
            <w:vAlign w:val="center"/>
          </w:tcPr>
          <w:p>
            <w:pPr>
              <w:tabs>
                <w:tab w:val="left" w:pos="1440"/>
              </w:tabs>
              <w:autoSpaceDE w:val="0"/>
              <w:snapToGrid w:val="0"/>
              <w:jc w:val="center"/>
              <w:rPr>
                <w:rFonts w:hint="default" w:ascii="Arial" w:hAnsi="Arial" w:cs="Arial"/>
                <w:color w:val="000000"/>
                <w:sz w:val="21"/>
                <w:szCs w:val="21"/>
              </w:rPr>
            </w:pPr>
            <w:r>
              <w:rPr>
                <w:rFonts w:hint="default" w:ascii="Arial" w:hAnsi="Arial" w:cs="Arial"/>
                <w:color w:val="000000"/>
                <w:sz w:val="21"/>
                <w:szCs w:val="21"/>
              </w:rPr>
              <w:t>LG =</w:t>
            </w:r>
          </w:p>
        </w:tc>
        <w:tc>
          <w:tcPr>
            <w:tcW w:w="5452" w:type="dxa"/>
            <w:tcBorders>
              <w:bottom w:val="single" w:color="auto" w:sz="4" w:space="0"/>
            </w:tcBorders>
            <w:vAlign w:val="bottom"/>
          </w:tcPr>
          <w:p>
            <w:pPr>
              <w:tabs>
                <w:tab w:val="left" w:pos="1440"/>
              </w:tabs>
              <w:autoSpaceDE w:val="0"/>
              <w:snapToGrid w:val="0"/>
              <w:jc w:val="center"/>
              <w:rPr>
                <w:rFonts w:hint="default" w:ascii="Arial" w:hAnsi="Arial" w:cs="Arial"/>
                <w:color w:val="000000"/>
                <w:sz w:val="21"/>
                <w:szCs w:val="21"/>
              </w:rPr>
            </w:pPr>
            <w:r>
              <w:rPr>
                <w:rFonts w:hint="default" w:ascii="Arial" w:hAnsi="Arial" w:cs="Arial"/>
                <w:color w:val="000000"/>
                <w:sz w:val="21"/>
                <w:szCs w:val="21"/>
              </w:rPr>
              <w:t>Ativo Circulante + Realizável a Longo Prazo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5" w:type="dxa"/>
            <w:vMerge w:val="continue"/>
          </w:tcPr>
          <w:p>
            <w:pPr>
              <w:tabs>
                <w:tab w:val="left" w:pos="1440"/>
              </w:tabs>
              <w:autoSpaceDE w:val="0"/>
              <w:snapToGrid w:val="0"/>
              <w:jc w:val="both"/>
              <w:rPr>
                <w:rFonts w:hint="default" w:ascii="Arial" w:hAnsi="Arial" w:cs="Arial"/>
                <w:color w:val="000000"/>
                <w:sz w:val="21"/>
                <w:szCs w:val="21"/>
              </w:rPr>
            </w:pPr>
          </w:p>
        </w:tc>
        <w:tc>
          <w:tcPr>
            <w:tcW w:w="5452" w:type="dxa"/>
            <w:tcBorders>
              <w:top w:val="single" w:color="auto" w:sz="4" w:space="0"/>
            </w:tcBorders>
          </w:tcPr>
          <w:p>
            <w:pPr>
              <w:tabs>
                <w:tab w:val="left" w:pos="1440"/>
              </w:tabs>
              <w:autoSpaceDE w:val="0"/>
              <w:snapToGrid w:val="0"/>
              <w:jc w:val="center"/>
              <w:rPr>
                <w:rFonts w:hint="default" w:ascii="Arial" w:hAnsi="Arial" w:cs="Arial"/>
                <w:color w:val="000000"/>
                <w:sz w:val="21"/>
                <w:szCs w:val="21"/>
              </w:rPr>
            </w:pPr>
            <w:r>
              <w:rPr>
                <w:rFonts w:hint="default" w:ascii="Arial" w:hAnsi="Arial" w:cs="Arial"/>
                <w:color w:val="000000"/>
                <w:sz w:val="21"/>
                <w:szCs w:val="21"/>
              </w:rPr>
              <w:t>Passivo Circulante + Passivo Não Circulante</w:t>
            </w:r>
          </w:p>
        </w:tc>
      </w:tr>
    </w:tbl>
    <w:p>
      <w:pPr>
        <w:tabs>
          <w:tab w:val="left" w:pos="1440"/>
        </w:tabs>
        <w:autoSpaceDE w:val="0"/>
        <w:snapToGrid w:val="0"/>
        <w:ind w:left="1134"/>
        <w:jc w:val="both"/>
        <w:rPr>
          <w:rFonts w:hint="default" w:ascii="Arial" w:hAnsi="Arial" w:cs="Arial"/>
          <w:color w:val="000000"/>
          <w:sz w:val="21"/>
          <w:szCs w:val="21"/>
        </w:rPr>
      </w:pPr>
    </w:p>
    <w:tbl>
      <w:tblPr>
        <w:tblStyle w:val="21"/>
        <w:tblW w:w="0" w:type="auto"/>
        <w:tblInd w:w="11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35"/>
        <w:gridCol w:w="54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5" w:type="dxa"/>
            <w:vMerge w:val="restart"/>
            <w:vAlign w:val="center"/>
          </w:tcPr>
          <w:p>
            <w:pPr>
              <w:tabs>
                <w:tab w:val="left" w:pos="1440"/>
              </w:tabs>
              <w:autoSpaceDE w:val="0"/>
              <w:snapToGrid w:val="0"/>
              <w:jc w:val="center"/>
              <w:rPr>
                <w:rFonts w:hint="default" w:ascii="Arial" w:hAnsi="Arial" w:cs="Arial"/>
                <w:color w:val="000000"/>
                <w:sz w:val="21"/>
                <w:szCs w:val="21"/>
              </w:rPr>
            </w:pPr>
            <w:r>
              <w:rPr>
                <w:rFonts w:hint="default" w:ascii="Arial" w:hAnsi="Arial" w:cs="Arial"/>
                <w:color w:val="000000"/>
                <w:sz w:val="21"/>
                <w:szCs w:val="21"/>
              </w:rPr>
              <w:t>SG =</w:t>
            </w:r>
          </w:p>
        </w:tc>
        <w:tc>
          <w:tcPr>
            <w:tcW w:w="5452" w:type="dxa"/>
            <w:tcBorders>
              <w:bottom w:val="single" w:color="auto" w:sz="4" w:space="0"/>
            </w:tcBorders>
            <w:vAlign w:val="bottom"/>
          </w:tcPr>
          <w:p>
            <w:pPr>
              <w:tabs>
                <w:tab w:val="left" w:pos="1440"/>
              </w:tabs>
              <w:autoSpaceDE w:val="0"/>
              <w:snapToGrid w:val="0"/>
              <w:jc w:val="center"/>
              <w:rPr>
                <w:rFonts w:hint="default" w:ascii="Arial" w:hAnsi="Arial" w:cs="Arial"/>
                <w:color w:val="000000"/>
                <w:sz w:val="21"/>
                <w:szCs w:val="21"/>
              </w:rPr>
            </w:pPr>
            <w:r>
              <w:rPr>
                <w:rFonts w:hint="default" w:ascii="Arial" w:hAnsi="Arial" w:cs="Arial"/>
                <w:color w:val="000000"/>
                <w:sz w:val="21"/>
                <w:szCs w:val="21"/>
              </w:rPr>
              <w:t>Ativo Total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5" w:type="dxa"/>
            <w:vMerge w:val="continue"/>
          </w:tcPr>
          <w:p>
            <w:pPr>
              <w:tabs>
                <w:tab w:val="left" w:pos="1440"/>
              </w:tabs>
              <w:autoSpaceDE w:val="0"/>
              <w:snapToGrid w:val="0"/>
              <w:jc w:val="both"/>
              <w:rPr>
                <w:rFonts w:hint="default" w:ascii="Arial" w:hAnsi="Arial" w:cs="Arial"/>
                <w:color w:val="000000"/>
                <w:sz w:val="21"/>
                <w:szCs w:val="21"/>
              </w:rPr>
            </w:pPr>
          </w:p>
        </w:tc>
        <w:tc>
          <w:tcPr>
            <w:tcW w:w="5452" w:type="dxa"/>
            <w:tcBorders>
              <w:top w:val="single" w:color="auto" w:sz="4" w:space="0"/>
            </w:tcBorders>
          </w:tcPr>
          <w:p>
            <w:pPr>
              <w:tabs>
                <w:tab w:val="left" w:pos="1440"/>
              </w:tabs>
              <w:autoSpaceDE w:val="0"/>
              <w:snapToGrid w:val="0"/>
              <w:jc w:val="center"/>
              <w:rPr>
                <w:rFonts w:hint="default" w:ascii="Arial" w:hAnsi="Arial" w:cs="Arial"/>
                <w:color w:val="000000"/>
                <w:sz w:val="21"/>
                <w:szCs w:val="21"/>
              </w:rPr>
            </w:pPr>
            <w:r>
              <w:rPr>
                <w:rFonts w:hint="default" w:ascii="Arial" w:hAnsi="Arial" w:cs="Arial"/>
                <w:color w:val="000000"/>
                <w:sz w:val="21"/>
                <w:szCs w:val="21"/>
              </w:rPr>
              <w:t>Passivo Circulante + Passivo Não Circulante</w:t>
            </w:r>
          </w:p>
        </w:tc>
      </w:tr>
    </w:tbl>
    <w:p>
      <w:pPr>
        <w:tabs>
          <w:tab w:val="left" w:pos="1440"/>
        </w:tabs>
        <w:autoSpaceDE w:val="0"/>
        <w:snapToGrid w:val="0"/>
        <w:ind w:left="1134"/>
        <w:jc w:val="both"/>
        <w:rPr>
          <w:rFonts w:hint="default" w:ascii="Arial" w:hAnsi="Arial" w:cs="Arial"/>
          <w:color w:val="000000"/>
          <w:sz w:val="21"/>
          <w:szCs w:val="21"/>
        </w:rPr>
      </w:pPr>
    </w:p>
    <w:tbl>
      <w:tblPr>
        <w:tblStyle w:val="21"/>
        <w:tblW w:w="0" w:type="auto"/>
        <w:tblInd w:w="11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35"/>
        <w:gridCol w:w="54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5" w:type="dxa"/>
            <w:vMerge w:val="restart"/>
            <w:vAlign w:val="center"/>
          </w:tcPr>
          <w:p>
            <w:pPr>
              <w:tabs>
                <w:tab w:val="left" w:pos="1440"/>
              </w:tabs>
              <w:autoSpaceDE w:val="0"/>
              <w:snapToGrid w:val="0"/>
              <w:jc w:val="center"/>
              <w:rPr>
                <w:rFonts w:hint="default" w:ascii="Arial" w:hAnsi="Arial" w:cs="Arial"/>
                <w:color w:val="000000"/>
                <w:sz w:val="21"/>
                <w:szCs w:val="21"/>
              </w:rPr>
            </w:pPr>
            <w:r>
              <w:rPr>
                <w:rFonts w:hint="default" w:ascii="Arial" w:hAnsi="Arial" w:cs="Arial"/>
                <w:color w:val="000000"/>
                <w:sz w:val="21"/>
                <w:szCs w:val="21"/>
              </w:rPr>
              <w:t>LC =</w:t>
            </w:r>
          </w:p>
        </w:tc>
        <w:tc>
          <w:tcPr>
            <w:tcW w:w="5452" w:type="dxa"/>
            <w:tcBorders>
              <w:bottom w:val="single" w:color="auto" w:sz="4" w:space="0"/>
            </w:tcBorders>
            <w:vAlign w:val="bottom"/>
          </w:tcPr>
          <w:p>
            <w:pPr>
              <w:tabs>
                <w:tab w:val="left" w:pos="1440"/>
              </w:tabs>
              <w:autoSpaceDE w:val="0"/>
              <w:snapToGrid w:val="0"/>
              <w:jc w:val="center"/>
              <w:rPr>
                <w:rFonts w:hint="default" w:ascii="Arial" w:hAnsi="Arial" w:cs="Arial"/>
                <w:color w:val="000000"/>
                <w:sz w:val="21"/>
                <w:szCs w:val="21"/>
              </w:rPr>
            </w:pPr>
            <w:r>
              <w:rPr>
                <w:rFonts w:hint="default" w:ascii="Arial" w:hAnsi="Arial" w:cs="Arial"/>
                <w:color w:val="000000"/>
                <w:sz w:val="21"/>
                <w:szCs w:val="21"/>
              </w:rPr>
              <w:t>Ativo Circulante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5" w:type="dxa"/>
            <w:vMerge w:val="continue"/>
          </w:tcPr>
          <w:p>
            <w:pPr>
              <w:tabs>
                <w:tab w:val="left" w:pos="1440"/>
              </w:tabs>
              <w:autoSpaceDE w:val="0"/>
              <w:snapToGrid w:val="0"/>
              <w:jc w:val="both"/>
              <w:rPr>
                <w:rFonts w:hint="default" w:ascii="Arial" w:hAnsi="Arial" w:cs="Arial"/>
                <w:color w:val="000000"/>
                <w:sz w:val="21"/>
                <w:szCs w:val="21"/>
              </w:rPr>
            </w:pPr>
          </w:p>
        </w:tc>
        <w:tc>
          <w:tcPr>
            <w:tcW w:w="5452" w:type="dxa"/>
            <w:tcBorders>
              <w:top w:val="single" w:color="auto" w:sz="4" w:space="0"/>
            </w:tcBorders>
          </w:tcPr>
          <w:p>
            <w:pPr>
              <w:tabs>
                <w:tab w:val="left" w:pos="1440"/>
              </w:tabs>
              <w:autoSpaceDE w:val="0"/>
              <w:snapToGrid w:val="0"/>
              <w:jc w:val="center"/>
              <w:rPr>
                <w:rFonts w:hint="default" w:ascii="Arial" w:hAnsi="Arial" w:cs="Arial"/>
                <w:color w:val="000000"/>
                <w:sz w:val="21"/>
                <w:szCs w:val="21"/>
              </w:rPr>
            </w:pPr>
            <w:r>
              <w:rPr>
                <w:rFonts w:hint="default" w:ascii="Arial" w:hAnsi="Arial" w:cs="Arial"/>
                <w:color w:val="000000"/>
                <w:sz w:val="21"/>
                <w:szCs w:val="21"/>
              </w:rPr>
              <w:t>Passivo Circulante</w:t>
            </w:r>
          </w:p>
        </w:tc>
      </w:tr>
    </w:tbl>
    <w:p>
      <w:pPr>
        <w:tabs>
          <w:tab w:val="left" w:pos="1440"/>
        </w:tabs>
        <w:autoSpaceDE w:val="0"/>
        <w:snapToGrid w:val="0"/>
        <w:spacing w:before="120" w:after="120" w:line="276" w:lineRule="auto"/>
        <w:ind w:left="1134"/>
        <w:jc w:val="both"/>
        <w:rPr>
          <w:rFonts w:hint="default" w:ascii="Arial" w:hAnsi="Arial" w:cs="Arial"/>
          <w:color w:val="000000"/>
          <w:sz w:val="21"/>
          <w:szCs w:val="21"/>
        </w:rPr>
      </w:pP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 xml:space="preserve">As empresas que apresentarem resultado inferior ou igual a 1(um) em qualquer dos índices de Liquidez Geral (LG), Solvência Geral (SG) e Liquidez Corrente (LC), deverão comprovar, considerados os riscos para a Administração, e, a critério da autoridade competente, o capital mínimo ou o patrimônio líquido mínimo  de </w:t>
      </w:r>
      <w:r>
        <w:rPr>
          <w:rFonts w:hint="default" w:ascii="Arial" w:hAnsi="Arial" w:cs="Arial"/>
          <w:b/>
          <w:bCs/>
          <w:i/>
          <w:iCs/>
          <w:sz w:val="21"/>
          <w:szCs w:val="21"/>
        </w:rPr>
        <w:t>10% (dez por cento)</w:t>
      </w:r>
      <w:r>
        <w:rPr>
          <w:rFonts w:hint="default" w:ascii="Arial" w:hAnsi="Arial" w:cs="Arial"/>
          <w:sz w:val="21"/>
          <w:szCs w:val="21"/>
          <w:lang w:val="pt-BR"/>
        </w:rPr>
        <w:t xml:space="preserve"> </w:t>
      </w:r>
      <w:r>
        <w:rPr>
          <w:rFonts w:hint="default" w:ascii="Arial" w:hAnsi="Arial" w:cs="Arial"/>
          <w:color w:val="000000"/>
          <w:sz w:val="21"/>
          <w:szCs w:val="21"/>
          <w:lang w:val="pt-BR" w:eastAsia="en-US"/>
        </w:rPr>
        <w:t xml:space="preserve">do valor estimado da contratação ou do item pertinente. </w:t>
      </w:r>
    </w:p>
    <w:p>
      <w:pPr>
        <w:numPr>
          <w:ilvl w:val="1"/>
          <w:numId w:val="2"/>
        </w:numPr>
        <w:spacing w:before="120" w:after="120" w:line="276" w:lineRule="auto"/>
        <w:ind w:left="425" w:firstLine="0"/>
        <w:jc w:val="both"/>
        <w:rPr>
          <w:rFonts w:hint="default" w:ascii="Arial" w:hAnsi="Arial" w:cs="Arial"/>
          <w:b/>
          <w:bCs/>
          <w:color w:val="000000"/>
          <w:sz w:val="21"/>
          <w:szCs w:val="21"/>
          <w:lang w:val="pt-BR" w:eastAsia="ar-SA"/>
        </w:rPr>
      </w:pPr>
      <w:r>
        <w:rPr>
          <w:rFonts w:hint="default" w:ascii="Arial" w:hAnsi="Arial" w:cs="Arial"/>
          <w:b/>
          <w:bCs/>
          <w:color w:val="000000"/>
          <w:sz w:val="21"/>
          <w:szCs w:val="21"/>
          <w:lang w:val="pt-BR" w:eastAsia="ar-SA"/>
        </w:rPr>
        <w:t xml:space="preserve">Qualificação Técnica  </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pPr>
        <w:numPr>
          <w:ilvl w:val="3"/>
          <w:numId w:val="2"/>
        </w:numPr>
        <w:spacing w:before="120" w:after="120" w:line="276" w:lineRule="auto"/>
        <w:ind w:left="126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Para fins da comprovação de que trata este subitem, os atestados deverão dizer respeito a contratos executados com as seguintes características mínimas:</w:t>
      </w:r>
    </w:p>
    <w:p>
      <w:pPr>
        <w:numPr>
          <w:ilvl w:val="4"/>
          <w:numId w:val="2"/>
        </w:numPr>
        <w:spacing w:before="120" w:after="120" w:line="276" w:lineRule="auto"/>
        <w:ind w:left="168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CNPJ, nome comercial, endereço e telefone da(s) sociedade(s) atestante(s);</w:t>
      </w:r>
    </w:p>
    <w:p>
      <w:pPr>
        <w:numPr>
          <w:ilvl w:val="4"/>
          <w:numId w:val="2"/>
        </w:numPr>
        <w:spacing w:before="120" w:after="120" w:line="276" w:lineRule="auto"/>
        <w:ind w:left="168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nome, cargo/função, endereço, telefone e e-mail do(s) representante(s) da(s) sociedade(s) atestante(s) que vier(em) a assinar o(s) atestado(s), a fim de que o IFPB possa com ele(s) manter contato;</w:t>
      </w:r>
    </w:p>
    <w:p>
      <w:pPr>
        <w:numPr>
          <w:ilvl w:val="4"/>
          <w:numId w:val="2"/>
        </w:numPr>
        <w:spacing w:before="120" w:after="120" w:line="276" w:lineRule="auto"/>
        <w:ind w:left="168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CNPJ e nome da sociedade contratada pela(s) sociedade(s) atestante(s) para a execução do objeto atestado;</w:t>
      </w:r>
    </w:p>
    <w:p>
      <w:pPr>
        <w:numPr>
          <w:ilvl w:val="4"/>
          <w:numId w:val="2"/>
        </w:numPr>
        <w:spacing w:before="120" w:after="120" w:line="276" w:lineRule="auto"/>
        <w:ind w:left="168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descrição do objeto atestado, contendo dados que permitam a aferição de sua similaridade com o objeto licitado, nos termos da alínea “a” deste inciso;</w:t>
      </w:r>
    </w:p>
    <w:p>
      <w:pPr>
        <w:numPr>
          <w:ilvl w:val="4"/>
          <w:numId w:val="2"/>
        </w:numPr>
        <w:spacing w:before="120" w:after="120" w:line="276" w:lineRule="auto"/>
        <w:ind w:left="168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data da emissão do(s) atestado(s); e</w:t>
      </w:r>
    </w:p>
    <w:p>
      <w:pPr>
        <w:numPr>
          <w:ilvl w:val="4"/>
          <w:numId w:val="2"/>
        </w:numPr>
        <w:spacing w:before="120" w:after="120" w:line="276" w:lineRule="auto"/>
        <w:ind w:left="168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assinatura do(s) representante(s) da(s) sociedade(s) atestante(s).</w:t>
      </w:r>
    </w:p>
    <w:p>
      <w:pPr>
        <w:numPr>
          <w:ilvl w:val="2"/>
          <w:numId w:val="2"/>
        </w:numPr>
        <w:spacing w:before="120" w:after="120" w:line="276" w:lineRule="auto"/>
        <w:ind w:left="845" w:leftChars="0" w:firstLine="0"/>
        <w:jc w:val="both"/>
        <w:rPr>
          <w:rFonts w:hint="default" w:ascii="Arial" w:hAnsi="Arial" w:cs="Arial"/>
          <w:i/>
          <w:iCs/>
          <w:color w:val="000000"/>
          <w:sz w:val="21"/>
          <w:szCs w:val="21"/>
          <w:lang w:val="pt-BR" w:eastAsia="en-US"/>
        </w:rPr>
      </w:pPr>
      <w:r>
        <w:rPr>
          <w:rFonts w:hint="default" w:ascii="Arial" w:hAnsi="Arial" w:cs="Arial"/>
          <w:i/>
          <w:iCs/>
          <w:color w:val="000000"/>
          <w:sz w:val="21"/>
          <w:szCs w:val="21"/>
          <w:lang w:val="pt-BR" w:eastAsia="en-US"/>
        </w:rPr>
        <w:t>Omissis</w:t>
      </w:r>
      <w:r>
        <w:rPr>
          <w:rStyle w:val="18"/>
          <w:rFonts w:hint="default" w:ascii="Arial" w:hAnsi="Arial" w:cs="Arial"/>
          <w:i/>
          <w:iCs/>
          <w:color w:val="000000"/>
          <w:sz w:val="21"/>
          <w:szCs w:val="21"/>
          <w:lang w:val="pt-BR" w:eastAsia="en-US"/>
        </w:rPr>
        <w:footnoteReference w:id="7"/>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ar-SA"/>
        </w:rPr>
      </w:pPr>
      <w:r>
        <w:rPr>
          <w:rFonts w:hint="default" w:ascii="Arial" w:hAnsi="Arial" w:cs="Arial"/>
          <w:b w:val="0"/>
          <w:bCs w:val="0"/>
          <w:color w:val="000000"/>
          <w:sz w:val="21"/>
          <w:szCs w:val="21"/>
          <w:lang w:val="pt-BR" w:eastAsia="ar-SA"/>
        </w:rPr>
        <w:t>Omissis</w:t>
      </w:r>
      <w:r>
        <w:rPr>
          <w:rStyle w:val="18"/>
          <w:rFonts w:hint="default" w:ascii="Arial" w:hAnsi="Arial" w:cs="Arial"/>
          <w:b w:val="0"/>
          <w:bCs w:val="0"/>
          <w:color w:val="000000"/>
          <w:sz w:val="21"/>
          <w:szCs w:val="21"/>
          <w:lang w:val="pt-BR" w:eastAsia="ar-SA"/>
        </w:rPr>
        <w:footnoteReference w:id="8"/>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ar-SA"/>
        </w:rPr>
      </w:pPr>
      <w:r>
        <w:rPr>
          <w:rFonts w:hint="default" w:ascii="Arial" w:hAnsi="Arial" w:cs="Arial"/>
          <w:b w:val="0"/>
          <w:bCs w:val="0"/>
          <w:color w:val="000000"/>
          <w:sz w:val="21"/>
          <w:szCs w:val="21"/>
          <w:lang w:val="pt-BR" w:eastAsia="ar-SA"/>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ar-SA"/>
        </w:rPr>
      </w:pPr>
      <w:r>
        <w:rPr>
          <w:rFonts w:hint="default" w:ascii="Arial" w:hAnsi="Arial" w:cs="Arial"/>
          <w:b w:val="0"/>
          <w:bCs w:val="0"/>
          <w:color w:val="000000"/>
          <w:sz w:val="21"/>
          <w:szCs w:val="21"/>
          <w:lang w:val="pt-BR" w:eastAsia="ar-SA"/>
        </w:rPr>
        <w:t>A existência de restrição relativamente à regularidade fiscal e trabalhista não impede que a licitante qualificada como microempresa ou empresa de pequeno porte seja declarada vencedora, uma vez que atenda a todas as demais exigências do edital.</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ar-SA"/>
        </w:rPr>
      </w:pPr>
      <w:r>
        <w:rPr>
          <w:rFonts w:hint="default" w:ascii="Arial" w:hAnsi="Arial" w:cs="Arial"/>
          <w:b w:val="0"/>
          <w:bCs w:val="0"/>
          <w:color w:val="000000"/>
          <w:sz w:val="21"/>
          <w:szCs w:val="21"/>
          <w:lang w:val="pt-BR" w:eastAsia="ar-SA"/>
        </w:rPr>
        <w:t>A declaração do vencedor acontecerá no momento imediatamente posterior à fase de habilitação.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ar-SA"/>
        </w:rPr>
      </w:pPr>
      <w:r>
        <w:rPr>
          <w:rFonts w:hint="default" w:ascii="Arial" w:hAnsi="Arial" w:cs="Arial"/>
          <w:b w:val="0"/>
          <w:bCs w:val="0"/>
          <w:color w:val="000000"/>
          <w:sz w:val="21"/>
          <w:szCs w:val="21"/>
          <w:lang w:val="pt-BR" w:eastAsia="ar-SA"/>
        </w:rPr>
        <w:t xml:space="preserve">Caso a proposta mais vantajosa seja ofertada por licitante qualificada como microempresa ou empresa de pequeno porte, e uma vez constatada a existência de alguma restrição no que tange à regularidade fiscal e trabalhista, a mesma será convocada para, no prazo de </w:t>
      </w:r>
      <w:r>
        <w:rPr>
          <w:rFonts w:hint="default" w:ascii="Arial" w:hAnsi="Arial" w:cs="Arial"/>
          <w:b/>
          <w:bCs/>
          <w:i/>
          <w:iCs/>
          <w:color w:val="000000"/>
          <w:sz w:val="21"/>
          <w:szCs w:val="21"/>
          <w:lang w:val="pt-BR" w:eastAsia="ar-SA"/>
        </w:rPr>
        <w:t>5 (cinco) dias úteis</w:t>
      </w:r>
      <w:r>
        <w:rPr>
          <w:rFonts w:hint="default" w:ascii="Arial" w:hAnsi="Arial" w:cs="Arial"/>
          <w:b w:val="0"/>
          <w:bCs w:val="0"/>
          <w:color w:val="000000"/>
          <w:sz w:val="21"/>
          <w:szCs w:val="21"/>
          <w:lang w:val="pt-BR" w:eastAsia="ar-SA"/>
        </w:rPr>
        <w:t>, após a declaração do vencedor, comprovar a regularização. O prazo poderá ser prorrogado por igual período, a critério da administração pública, quando requerida pelo licitante, mediante apresentação de justificativa.</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ar-SA"/>
        </w:rPr>
      </w:pPr>
      <w:r>
        <w:rPr>
          <w:rFonts w:hint="default" w:ascii="Arial" w:hAnsi="Arial" w:cs="Arial"/>
          <w:b w:val="0"/>
          <w:bCs w:val="0"/>
          <w:color w:val="000000"/>
          <w:sz w:val="21"/>
          <w:szCs w:val="21"/>
          <w:lang w:val="pt-BR" w:eastAsia="ar-SA"/>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ar-SA"/>
        </w:rPr>
      </w:pPr>
      <w:r>
        <w:rPr>
          <w:rFonts w:hint="default" w:ascii="Arial" w:hAnsi="Arial" w:cs="Arial"/>
          <w:b w:val="0"/>
          <w:bCs w:val="0"/>
          <w:color w:val="000000"/>
          <w:sz w:val="21"/>
          <w:szCs w:val="21"/>
          <w:lang w:val="pt-BR" w:eastAsia="ar-SA"/>
        </w:rPr>
        <w:t>Havendo necessidade de analisar minuciosamente os documentos exigidos, o Pregoeiro suspenderá a sessão, informando no “chat” a nova data e horário para a continuidade da mesma.</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ar-SA"/>
        </w:rPr>
      </w:pPr>
      <w:r>
        <w:rPr>
          <w:rFonts w:hint="default" w:ascii="Arial" w:hAnsi="Arial" w:cs="Arial"/>
          <w:b w:val="0"/>
          <w:bCs w:val="0"/>
          <w:color w:val="000000"/>
          <w:sz w:val="21"/>
          <w:szCs w:val="21"/>
          <w:lang w:val="pt-BR" w:eastAsia="ar-SA"/>
        </w:rPr>
        <w:t>Será inabilitado o licitante que não comprovar sua habilitação, seja por não apresentar quaisquer dos documentos exigidos, ou apresentá-los em desacordo com o e</w:t>
      </w:r>
      <w:r>
        <w:rPr>
          <w:rFonts w:hint="default" w:ascii="Arial" w:hAnsi="Arial" w:cs="Arial"/>
          <w:b w:val="0"/>
          <w:bCs w:val="0"/>
          <w:color w:val="000000"/>
          <w:sz w:val="21"/>
          <w:szCs w:val="21"/>
          <w:lang w:val="pt-BR" w:eastAsia="en-US"/>
        </w:rPr>
        <w:t>stabelecido neste Edital.</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ar-SA"/>
        </w:rPr>
      </w:pPr>
      <w:r>
        <w:rPr>
          <w:rFonts w:hint="default" w:ascii="Arial" w:hAnsi="Arial" w:cs="Arial"/>
          <w:b w:val="0"/>
          <w:bCs w:val="0"/>
          <w:color w:val="000000"/>
          <w:sz w:val="21"/>
          <w:szCs w:val="21"/>
          <w:lang w:val="pt-BR" w:eastAsia="ar-SA"/>
        </w:rPr>
        <w:t>Nos itens não exclusivos a microempresas e empresas de pequeno porte, em havendo inabilitação, haverá nova verificação, pelo sistema, da eventual ocorrência do empate ficto, previsto nos artigos 44 e 45 da LC n.° 123, de 2006, seguindo-se a disciplina antes estabelecida para aceitação da proposta subsequente.</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ar-SA"/>
        </w:rPr>
      </w:pPr>
      <w:r>
        <w:rPr>
          <w:rFonts w:hint="default" w:ascii="Arial" w:hAnsi="Arial" w:cs="Arial"/>
          <w:b w:val="0"/>
          <w:bCs w:val="0"/>
          <w:color w:val="000000"/>
          <w:sz w:val="21"/>
          <w:szCs w:val="21"/>
          <w:lang w:val="pt-BR" w:eastAsia="ar-SA"/>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ar-SA"/>
        </w:rPr>
      </w:pPr>
      <w:r>
        <w:rPr>
          <w:rFonts w:hint="default" w:ascii="Arial" w:hAnsi="Arial" w:cs="Arial"/>
          <w:b w:val="0"/>
          <w:bCs w:val="0"/>
          <w:color w:val="000000"/>
          <w:sz w:val="21"/>
          <w:szCs w:val="21"/>
          <w:lang w:val="pt-BR" w:eastAsia="ar-SA"/>
        </w:rPr>
        <w:t>Não havendo a comprovação cumulativa dos requisitos de habilitação, a inabilitação recairá sobre o(s) item(ns) de menor(es) valor(es) cuja retirada(s) seja(m) suficiente(s) para a habilitação do licitante nos remanescentes.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Constatado o atendimento às exigências de habilitação fixadas no Edital, o licitante será declarado vencedor.</w:t>
      </w:r>
    </w:p>
    <w:p>
      <w:pPr>
        <w:numPr>
          <w:ilvl w:val="0"/>
          <w:numId w:val="0"/>
        </w:numPr>
        <w:spacing w:before="120" w:after="120" w:line="276" w:lineRule="auto"/>
        <w:ind w:left="425" w:leftChars="0"/>
        <w:jc w:val="both"/>
        <w:rPr>
          <w:rFonts w:hint="default" w:ascii="Arial" w:hAnsi="Arial" w:cs="Arial"/>
          <w:b w:val="0"/>
          <w:bCs w:val="0"/>
          <w:color w:val="000000"/>
          <w:sz w:val="21"/>
          <w:szCs w:val="21"/>
          <w:lang w:val="pt-BR" w:eastAsia="en-US"/>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DO ENCAMINHAMENTO DA PROPOSTA VENCEDORA</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A proposta final do licitante declarado vencedor deverá ser encaminhada no prazo de </w:t>
      </w:r>
      <w:r>
        <w:rPr>
          <w:rFonts w:hint="default" w:ascii="Arial" w:hAnsi="Arial" w:cs="Arial"/>
          <w:b/>
          <w:bCs/>
          <w:i/>
          <w:iCs/>
          <w:color w:val="000000"/>
          <w:sz w:val="21"/>
          <w:szCs w:val="21"/>
          <w:lang w:val="pt-BR" w:eastAsia="en-US"/>
        </w:rPr>
        <w:t>2 (duas) horas</w:t>
      </w:r>
      <w:r>
        <w:rPr>
          <w:rFonts w:hint="default" w:ascii="Arial" w:hAnsi="Arial" w:cs="Arial"/>
          <w:b w:val="0"/>
          <w:bCs w:val="0"/>
          <w:color w:val="000000"/>
          <w:sz w:val="21"/>
          <w:szCs w:val="21"/>
          <w:lang w:val="pt-BR" w:eastAsia="en-US"/>
        </w:rPr>
        <w:t>, a contar da solicitação do Pregoeiro no sistema eletrônico e deverá:</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ser redigida em língua portuguesa, datilografada ou digitada, em uma via, sem emendas, rasuras, entrelinhas ou ressalvas, devendo a última folha ser assinada e as demais rubricadas pelo licitante ou seu representante legal.</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conter a indicação do banco, número da conta e agência do licitante vencedor, para fins de pagamento.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proposta final deverá ser documentada nos autos e será levada em consideração no decorrer da execução do contrato e aplicação de eventual sanção à Contratada, se for o caso.</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Todas as especificações do objeto contidas na proposta, tais como marca, modelo, tipo, fabricante e procedência, vinculam a Contratada.</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 Os preços deverão ser expressos em moeda corrente nacional, o valor unitário em algarismos e o valor global em algarismos e por extenso (art. 5º da Lei n.° 8.666/93).</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Ocorrendo divergência entre os preços unitários e o preço global, prevalecerão os primeiros; no caso de divergência entre os valores numéricos e os valores expressos por extenso, prevalecerão estes últimos.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oferta deverá ser firme e precisa, limitada, rigorosamente, ao objeto deste Edital, sem conter alternativas de preço ou de qualquer outra condição que induza o julgamento a mais de um resultado, sob pena de desclassificação.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proposta deverá obedecer aos termos deste Edital e seus Anexos, não sendo considerada aquela que não corresponda às especificações ali contidas ou que estabeleça vínculo à proposta de outro licitante.</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As propostas que contenham a descrição do objeto, o valor e os documentos complementares estarão disponíveis na internet, após a homologação.</w:t>
      </w:r>
    </w:p>
    <w:p>
      <w:pPr>
        <w:pStyle w:val="22"/>
        <w:spacing w:before="120" w:after="120" w:line="276" w:lineRule="auto"/>
        <w:ind w:left="999"/>
        <w:jc w:val="both"/>
        <w:rPr>
          <w:rFonts w:hint="default" w:ascii="Arial" w:hAnsi="Arial" w:cs="Arial"/>
          <w:i/>
          <w:sz w:val="21"/>
          <w:szCs w:val="21"/>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DOS RECURSOS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Declarado o vencedor e decorrida a fase de regularização fiscal e trabalhista da licitante qualificada como microempresa ou empresa de pequeno porte, se for o caso, será concedido o prazo de no mínimo trinta minutos, para que qualquer licitante manifeste a intenção de recorrer, de forma motivada, isto é, indicando contra qual(is) decisão(ões) pretende recorrer e por quais motivos, em campo próprio do sistema.</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Havendo quem se manifeste, caberá ao Pregoeiro verificar a tempestividade e a existência de motivação da intenção de recorrer, para decidir se admite ou não o recurso, fundamentadamente.</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Nesse momento o Pregoeiro não adentrará no mérito recursal, mas apenas verificará as condições de admissibilidade do recurso.</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falta de manifestação motivada do licitante quanto à intenção de recorrer importará a decadência desse direito.</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Uma vez admitido o recurso, o recorrente terá, a partir de então, o prazo de um dia para apresentar as razões, pelo sistema eletrônico, ficando os demais licitantes, desde logo, intimados para, querendo, apresentarem contrarrazões também pelo sistema eletrônico, em um dia, que começará a contar do término do prazo do recorrente, sendo-lhes assegurada vista imediata dos elementos indispensáveis à defesa de seus interesses.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O acolhimento do recurso invalida tão somente os atos insuscetíveis de aproveitamento.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Os autos do processo permanecerão com vista franqueada aos interessados, no endereço constante neste Edital.</w:t>
      </w:r>
    </w:p>
    <w:p>
      <w:pPr>
        <w:numPr>
          <w:ilvl w:val="0"/>
          <w:numId w:val="0"/>
        </w:numPr>
        <w:spacing w:before="120" w:after="120" w:line="276" w:lineRule="auto"/>
        <w:ind w:left="425" w:leftChars="0"/>
        <w:jc w:val="both"/>
        <w:rPr>
          <w:rFonts w:hint="default" w:ascii="Arial" w:hAnsi="Arial" w:cs="Arial"/>
          <w:b w:val="0"/>
          <w:bCs w:val="0"/>
          <w:color w:val="000000"/>
          <w:sz w:val="21"/>
          <w:szCs w:val="21"/>
          <w:lang w:val="pt-BR" w:eastAsia="en-US"/>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DA REABERTURA DA SESSÃO PÚBLICA</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sessão pública poderá ser reaberta:</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Nas hipóteses de provimento de recurso que leve à anulação de atos anteriores à realização da sessão pública precedente ou em que seja anulada a própria sessão pública, situação em que serão repetidos os atos anulados e os que dele dependam.</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 123/2006. Nessas hipóteses, serão adotados os procedimentos imediatamente posteriores ao encerramento da etapa de lances.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Todos os licitantes remanescentes deverão ser convocados para acompanhar a sessão reaberta.</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convocação se dará por meio do sistema eletrônico (“chat”), e-mail, de acordo com a fase do procedimento licitatório.</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convocação feita por e-mail dar-se-á de acordo com os dados contidos no SICAF, sendo responsabilidade do licitante manter seus dados cadastrais atualizados.</w:t>
      </w:r>
    </w:p>
    <w:p>
      <w:pPr>
        <w:numPr>
          <w:ilvl w:val="0"/>
          <w:numId w:val="0"/>
        </w:numPr>
        <w:spacing w:before="120" w:after="120" w:line="276" w:lineRule="auto"/>
        <w:ind w:left="845" w:leftChars="0"/>
        <w:jc w:val="both"/>
        <w:rPr>
          <w:rFonts w:hint="default" w:ascii="Arial" w:hAnsi="Arial" w:cs="Arial"/>
          <w:b w:val="0"/>
          <w:bCs w:val="0"/>
          <w:color w:val="000000"/>
          <w:sz w:val="21"/>
          <w:szCs w:val="21"/>
          <w:lang w:val="pt-BR" w:eastAsia="en-US"/>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 xml:space="preserve">DA ADJUDICAÇÃO E HOMOLOGAÇÃO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 objeto da licitação será adjudicado ao licitante declarado vencedor, por ato do Pregoeiro, caso não haja interposição de recurso, ou pela autoridade competente, após a regular decisão dos recursos apresentados.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Após a fase recursal, constatada a regularidade dos atos praticados, a autoridade competente homologará o procedimento licitatório. </w:t>
      </w:r>
    </w:p>
    <w:p>
      <w:pPr>
        <w:pStyle w:val="22"/>
        <w:spacing w:before="120" w:after="120" w:line="276" w:lineRule="auto"/>
        <w:ind w:left="425"/>
        <w:contextualSpacing w:val="0"/>
        <w:jc w:val="both"/>
        <w:rPr>
          <w:rFonts w:hint="default" w:ascii="Arial" w:hAnsi="Arial" w:cs="Arial"/>
          <w:color w:val="000000"/>
          <w:sz w:val="21"/>
          <w:szCs w:val="21"/>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 xml:space="preserve">DA GARANTIA DE EXECUÇÃO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Não haverá exigência de garantia de execução para a presente contratação.</w:t>
      </w:r>
    </w:p>
    <w:p>
      <w:pPr>
        <w:numPr>
          <w:ilvl w:val="0"/>
          <w:numId w:val="0"/>
        </w:numPr>
        <w:spacing w:before="120" w:after="120" w:line="276" w:lineRule="auto"/>
        <w:ind w:left="425" w:leftChars="0"/>
        <w:jc w:val="both"/>
        <w:rPr>
          <w:rFonts w:hint="default" w:ascii="Arial" w:hAnsi="Arial" w:cs="Arial"/>
          <w:b w:val="0"/>
          <w:bCs w:val="0"/>
          <w:color w:val="000000"/>
          <w:sz w:val="21"/>
          <w:szCs w:val="21"/>
          <w:lang w:val="pt-BR" w:eastAsia="en-US"/>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 xml:space="preserve">DA GARANTIA CONTRATUAL DOS BENS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 Não haverá exigência de garantia contratual dos bens fornecidos na presente contratação.</w:t>
      </w:r>
    </w:p>
    <w:p>
      <w:pPr>
        <w:numPr>
          <w:ilvl w:val="0"/>
          <w:numId w:val="0"/>
        </w:numPr>
        <w:spacing w:before="120" w:after="120" w:line="276" w:lineRule="auto"/>
        <w:jc w:val="both"/>
        <w:rPr>
          <w:rFonts w:hint="default" w:ascii="Arial" w:hAnsi="Arial" w:cs="Arial"/>
          <w:b w:val="0"/>
          <w:bCs w:val="0"/>
          <w:color w:val="000000"/>
          <w:sz w:val="21"/>
          <w:szCs w:val="21"/>
          <w:lang w:val="pt-BR" w:eastAsia="en-US"/>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DO TERMO DE CONTRATO OU INSTRUMENTO EQUIVALENTE</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Após a homologação da licitação, em sendo realizada a contratação, será firmado Termo de Contrato ou emitido instrumento equivalente.</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O adjudicatário terá o prazo de </w:t>
      </w:r>
      <w:r>
        <w:rPr>
          <w:rFonts w:hint="default" w:ascii="Arial" w:hAnsi="Arial" w:cs="Arial"/>
          <w:b/>
          <w:bCs/>
          <w:i/>
          <w:iCs/>
          <w:color w:val="000000"/>
          <w:sz w:val="21"/>
          <w:szCs w:val="21"/>
          <w:lang w:val="pt-BR" w:eastAsia="en-US"/>
        </w:rPr>
        <w:t>5 (cinco) dias úteis</w:t>
      </w:r>
      <w:r>
        <w:rPr>
          <w:rFonts w:hint="default" w:ascii="Arial" w:hAnsi="Arial" w:cs="Arial"/>
          <w:b w:val="0"/>
          <w:bCs w:val="0"/>
          <w:color w:val="000000"/>
          <w:sz w:val="21"/>
          <w:szCs w:val="21"/>
          <w:lang w:val="pt-BR" w:eastAsia="en-US"/>
        </w:rPr>
        <w:t xml:space="preserve">,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Alternativamente à convocação para comparecer perante o órgão ou entidade para a assinatura do Termo de Contrato ou aceite do instrumento equivalente, a Administração poderá encaminhá-lo para assinatura ou aceite da Adjudicatária, mediante correspondência postal com aviso de recebimento (AR) ou meio eletrônico, para que seja assinado ou aceito no prazo de </w:t>
      </w:r>
      <w:r>
        <w:rPr>
          <w:rFonts w:hint="default" w:ascii="Arial" w:hAnsi="Arial" w:cs="Arial"/>
          <w:b/>
          <w:bCs/>
          <w:i/>
          <w:iCs/>
          <w:color w:val="000000"/>
          <w:sz w:val="21"/>
          <w:szCs w:val="21"/>
          <w:lang w:val="pt-BR" w:eastAsia="en-US"/>
        </w:rPr>
        <w:t>5 (cinco) dias</w:t>
      </w:r>
      <w:r>
        <w:rPr>
          <w:rFonts w:hint="default" w:ascii="Arial" w:hAnsi="Arial" w:cs="Arial"/>
          <w:b w:val="0"/>
          <w:bCs w:val="0"/>
          <w:color w:val="000000"/>
          <w:sz w:val="21"/>
          <w:szCs w:val="21"/>
          <w:lang w:val="pt-BR" w:eastAsia="en-US"/>
        </w:rPr>
        <w:t xml:space="preserve">, a contar da data de seu recebimento. </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 prazo previsto no subitem anterior poderá ser prorrogado, por igual período, por solicitação justificada do adjudicatário e aceita pela Administração.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 Aceite da Nota de Empenho ou do instrumento equivalente, emitida à empresa adjudicada, implica no reconhecimento de que:</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referida Nota está substituindo o contrato, aplicando-se à relação de negócios ali estabelecida as disposições da Lei n.° 8.666, de 1993;</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contratada se vincula à sua proposta e às previsões contidas no edital e seus anexos;</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contratada reconhece que as hipóteses de rescisão são aquelas previstas nos artigos 77 e 78 da Lei n.° 8.666/93 e reconhece os direitos da Administração previstos nos artigos 79 e 80 da mesma Lei.</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Omissis</w:t>
      </w:r>
      <w:r>
        <w:rPr>
          <w:rStyle w:val="18"/>
          <w:rFonts w:hint="default" w:ascii="Arial" w:hAnsi="Arial" w:cs="Arial"/>
          <w:b w:val="0"/>
          <w:bCs w:val="0"/>
          <w:color w:val="000000"/>
          <w:sz w:val="21"/>
          <w:szCs w:val="21"/>
          <w:lang w:val="pt-BR" w:eastAsia="en-US"/>
        </w:rPr>
        <w:footnoteReference w:id="9"/>
      </w:r>
      <w:r>
        <w:rPr>
          <w:rFonts w:hint="default" w:ascii="Arial" w:hAnsi="Arial" w:cs="Arial"/>
          <w:b w:val="0"/>
          <w:bCs w:val="0"/>
          <w:color w:val="000000"/>
          <w:sz w:val="21"/>
          <w:szCs w:val="21"/>
          <w:lang w:val="pt-BR" w:eastAsia="en-US"/>
        </w:rPr>
        <w:t xml:space="preserve">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 3, de 26 de abril de 2018, e nos termos do art. 6º, III, da Lei n.° 10.522, de 19 de julho de 2002, consulta prévia ao CADIN. </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Nos casos em que houver necessidade de assinatura do instrumento de contrato, e o fornecedor não estiver inscrito no SICAF, este deverá proceder ao seu cadastramento, sem ônus, antes da contratação.</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Na hipótese de irregularidade do registro no SICAF, o contratado deverá regularizar a sua situação perante o cadastro no prazo de até 05 (cinco) dias úteis, sob pena de aplicação das penalidades previstas no edital e anexos.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Na assinatura do contrato ou da ata de registro de preços, será exigida a comprovação das condições de habilitação consignadas no edital, que deverão ser mantidas pelo licitante durante a vigência do contrato ou da ata de registro de preços.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p>
    <w:p>
      <w:pPr>
        <w:numPr>
          <w:ilvl w:val="0"/>
          <w:numId w:val="0"/>
        </w:numPr>
        <w:spacing w:before="120" w:after="120" w:line="276" w:lineRule="auto"/>
        <w:ind w:left="425" w:leftChars="0"/>
        <w:jc w:val="both"/>
        <w:rPr>
          <w:rFonts w:hint="default" w:ascii="Arial" w:hAnsi="Arial" w:cs="Arial"/>
          <w:b w:val="0"/>
          <w:bCs w:val="0"/>
          <w:color w:val="000000"/>
          <w:sz w:val="21"/>
          <w:szCs w:val="21"/>
          <w:lang w:val="pt-BR" w:eastAsia="en-US"/>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DO REAJUSTAMENTO EM SENTIDO GERAL</w:t>
      </w:r>
    </w:p>
    <w:p>
      <w:pPr>
        <w:pStyle w:val="22"/>
        <w:numPr>
          <w:ilvl w:val="0"/>
          <w:numId w:val="6"/>
        </w:numPr>
        <w:spacing w:before="120" w:after="120" w:line="276" w:lineRule="auto"/>
        <w:contextualSpacing w:val="0"/>
        <w:jc w:val="both"/>
        <w:rPr>
          <w:rFonts w:hint="default" w:ascii="Arial" w:hAnsi="Arial" w:cs="Arial"/>
          <w:vanish/>
          <w:color w:val="000000"/>
          <w:sz w:val="21"/>
          <w:szCs w:val="21"/>
        </w:rPr>
      </w:pPr>
    </w:p>
    <w:p>
      <w:pPr>
        <w:pStyle w:val="22"/>
        <w:numPr>
          <w:ilvl w:val="0"/>
          <w:numId w:val="6"/>
        </w:numPr>
        <w:spacing w:before="120" w:after="120" w:line="276" w:lineRule="auto"/>
        <w:contextualSpacing w:val="0"/>
        <w:jc w:val="both"/>
        <w:rPr>
          <w:rFonts w:hint="default" w:ascii="Arial" w:hAnsi="Arial" w:cs="Arial"/>
          <w:vanish/>
          <w:color w:val="000000"/>
          <w:sz w:val="21"/>
          <w:szCs w:val="21"/>
        </w:rPr>
      </w:pPr>
    </w:p>
    <w:p>
      <w:pPr>
        <w:pStyle w:val="22"/>
        <w:numPr>
          <w:ilvl w:val="0"/>
          <w:numId w:val="6"/>
        </w:numPr>
        <w:spacing w:before="120" w:after="120" w:line="276" w:lineRule="auto"/>
        <w:contextualSpacing w:val="0"/>
        <w:jc w:val="both"/>
        <w:rPr>
          <w:rFonts w:hint="default" w:ascii="Arial" w:hAnsi="Arial" w:cs="Arial"/>
          <w:vanish/>
          <w:color w:val="000000"/>
          <w:sz w:val="21"/>
          <w:szCs w:val="21"/>
        </w:rPr>
      </w:pPr>
    </w:p>
    <w:p>
      <w:pPr>
        <w:pStyle w:val="22"/>
        <w:numPr>
          <w:ilvl w:val="0"/>
          <w:numId w:val="6"/>
        </w:numPr>
        <w:spacing w:before="120" w:after="120" w:line="276" w:lineRule="auto"/>
        <w:contextualSpacing w:val="0"/>
        <w:jc w:val="both"/>
        <w:rPr>
          <w:rFonts w:hint="default" w:ascii="Arial" w:hAnsi="Arial" w:cs="Arial"/>
          <w:vanish/>
          <w:color w:val="000000"/>
          <w:sz w:val="21"/>
          <w:szCs w:val="21"/>
        </w:rPr>
      </w:pP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As regras acerca do reajustamento em sentido geral do valor contratual são as estabelecidas no Termo de Referência, anexo a este Edital.</w:t>
      </w:r>
    </w:p>
    <w:p>
      <w:pPr>
        <w:pStyle w:val="22"/>
        <w:spacing w:before="120" w:after="120" w:line="276" w:lineRule="auto"/>
        <w:ind w:left="800"/>
        <w:jc w:val="both"/>
        <w:rPr>
          <w:rFonts w:hint="default" w:ascii="Arial" w:hAnsi="Arial" w:cs="Arial"/>
          <w:color w:val="000000"/>
          <w:sz w:val="21"/>
          <w:szCs w:val="21"/>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DO RECEBIMENTO DO OBJETO E DA FISCALIZAÇÃO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Os critérios de recebimento e aceitação do objeto e de fiscalização estão previstos no Termo de Referência.</w:t>
      </w:r>
    </w:p>
    <w:p>
      <w:pPr>
        <w:numPr>
          <w:ilvl w:val="0"/>
          <w:numId w:val="0"/>
        </w:numPr>
        <w:spacing w:before="120" w:after="120" w:line="276" w:lineRule="auto"/>
        <w:ind w:left="425" w:leftChars="0"/>
        <w:jc w:val="both"/>
        <w:rPr>
          <w:rFonts w:hint="default" w:ascii="Arial" w:hAnsi="Arial" w:cs="Arial"/>
          <w:b w:val="0"/>
          <w:bCs w:val="0"/>
          <w:color w:val="000000"/>
          <w:sz w:val="21"/>
          <w:szCs w:val="21"/>
          <w:lang w:val="pt-BR" w:eastAsia="en-US"/>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DAS OBRIGAÇÕES DA CONTRATANTE E DA CONTRATADA</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As obrigações da Contratante e da Contratada são as estabelecidas no Termo de Referência. </w:t>
      </w:r>
    </w:p>
    <w:p>
      <w:pPr>
        <w:numPr>
          <w:ilvl w:val="0"/>
          <w:numId w:val="0"/>
        </w:numPr>
        <w:spacing w:before="120" w:after="120" w:line="276" w:lineRule="auto"/>
        <w:ind w:left="425" w:leftChars="0"/>
        <w:jc w:val="both"/>
        <w:rPr>
          <w:rFonts w:hint="default" w:ascii="Arial" w:hAnsi="Arial" w:cs="Arial"/>
          <w:b w:val="0"/>
          <w:bCs w:val="0"/>
          <w:color w:val="000000"/>
          <w:sz w:val="21"/>
          <w:szCs w:val="21"/>
          <w:lang w:val="pt-BR" w:eastAsia="en-US"/>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DO PAGAMENTO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As regras acerca do pagamento são as estabelecidas no Termo de Referência, anexo a este Edital.</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b w:val="0"/>
          <w:bCs w:val="0"/>
          <w:color w:val="000000"/>
          <w:sz w:val="21"/>
          <w:szCs w:val="21"/>
          <w:lang w:val="pt-BR" w:eastAsia="en-US"/>
        </w:rPr>
        <w:t>É admitida a cessão de crédito decorrente da contratação de que trata este Instrumento Convocatório, nos termos do previsto na minuta contratual anexa a este Edital. </w:t>
      </w:r>
    </w:p>
    <w:p>
      <w:pPr>
        <w:numPr>
          <w:ilvl w:val="2"/>
          <w:numId w:val="2"/>
        </w:numPr>
        <w:spacing w:before="120" w:after="120" w:line="276" w:lineRule="auto"/>
        <w:ind w:left="845" w:leftChars="0" w:firstLine="0"/>
        <w:jc w:val="both"/>
        <w:rPr>
          <w:rFonts w:hint="default" w:ascii="Arial" w:hAnsi="Arial" w:cs="Arial"/>
          <w:b w:val="0"/>
          <w:bCs w:val="0"/>
          <w:i/>
          <w:iCs/>
          <w:color w:val="000000"/>
          <w:sz w:val="21"/>
          <w:szCs w:val="21"/>
          <w:lang w:val="pt-BR" w:eastAsia="en-US"/>
        </w:rPr>
      </w:pPr>
      <w:r>
        <w:rPr>
          <w:rFonts w:hint="default" w:ascii="Arial" w:hAnsi="Arial" w:cs="Arial"/>
          <w:b w:val="0"/>
          <w:bCs w:val="0"/>
          <w:i/>
          <w:iCs/>
          <w:color w:val="000000"/>
          <w:sz w:val="21"/>
          <w:szCs w:val="21"/>
          <w:lang w:val="pt-BR" w:eastAsia="en-US"/>
        </w:rPr>
        <w:t>Omissis</w:t>
      </w:r>
      <w:r>
        <w:rPr>
          <w:rStyle w:val="18"/>
          <w:rFonts w:hint="default" w:ascii="Arial" w:hAnsi="Arial" w:cs="Arial"/>
          <w:b w:val="0"/>
          <w:bCs w:val="0"/>
          <w:i/>
          <w:iCs/>
          <w:color w:val="000000"/>
          <w:sz w:val="21"/>
          <w:szCs w:val="21"/>
          <w:lang w:val="pt-BR" w:eastAsia="en-US"/>
        </w:rPr>
        <w:footnoteReference w:id="10"/>
      </w:r>
    </w:p>
    <w:p>
      <w:pPr>
        <w:numPr>
          <w:ilvl w:val="0"/>
          <w:numId w:val="0"/>
        </w:numPr>
        <w:spacing w:before="120" w:after="120" w:line="276" w:lineRule="auto"/>
        <w:ind w:left="845" w:leftChars="0"/>
        <w:jc w:val="both"/>
        <w:rPr>
          <w:rFonts w:hint="default" w:ascii="Arial" w:hAnsi="Arial" w:cs="Arial"/>
          <w:b w:val="0"/>
          <w:bCs w:val="0"/>
          <w:color w:val="000000"/>
          <w:sz w:val="21"/>
          <w:szCs w:val="21"/>
          <w:lang w:val="pt-BR" w:eastAsia="en-US"/>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DAS SANÇÕES ADMINISTRATIVAS.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Comete infração administrativa, nos termos da Lei n.° 10.520, de 2002, o licitante/adjudicatário que: </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não assinar o termo de contrato ou aceitar/retirar o instrumento equivalente, quando convocado dentro do prazo de validade da proposta;</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não assinar a ata de registro de preços, quando cabível;</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apresentar documentação falsa;</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deixar de entregar os documentos exigidos no certame;</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ensejar o retardamento da execução do objeto;</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não mantiver a proposta;</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cometer fraude fiscal;</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comportar-se de modo inidôneo;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As sanções do item acima também se aplicam aos integrantes do cadastro de reserva, em pregão para registro de preços que, convocados, não honrarem o compromisso assumido injustificadamente.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Considera-se comportamento inidôneo, entre outros, a declaração falsa quanto às condições de participação, quanto ao enquadramento como ME/EPP ou o conluio entre os licitantes, em qualquer momento da licitação, mesmo após o encerramento da fase de lances.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O licitante/adjudicatário que cometer qualquer das infrações discriminadas nos subitens anteriores ficará sujeito, sem prejuízo da responsabilidade civil e criminal, às seguintes sanções: </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Advertência por faltas leves, assim entendidas como aquelas que não acarretarem prejuízos significativos ao objeto da contratação;</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Multa de </w:t>
      </w:r>
      <w:r>
        <w:rPr>
          <w:rFonts w:hint="default" w:ascii="Arial" w:hAnsi="Arial" w:cs="Arial"/>
          <w:b/>
          <w:bCs/>
          <w:i/>
          <w:iCs/>
          <w:color w:val="000000"/>
          <w:sz w:val="21"/>
          <w:szCs w:val="21"/>
          <w:lang w:val="pt-BR" w:eastAsia="en-US"/>
        </w:rPr>
        <w:t xml:space="preserve">20% (vinte por cento) </w:t>
      </w:r>
      <w:r>
        <w:rPr>
          <w:rFonts w:hint="default" w:ascii="Arial" w:hAnsi="Arial" w:cs="Arial"/>
          <w:b w:val="0"/>
          <w:bCs w:val="0"/>
          <w:color w:val="000000"/>
          <w:sz w:val="21"/>
          <w:szCs w:val="21"/>
          <w:lang w:val="pt-BR" w:eastAsia="en-US"/>
        </w:rPr>
        <w:t>sobre o valor estimado do(s) item(s) prejudicado(s) pela conduta do licitante;</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Suspensão de licitar e impedimento de contratar com o órgão, entidade ou unidade administrativa pela qual a Administração Pública opera e atua concretamente, pelo prazo de até dois anos;</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Impedimento de licitar e de contratar com a União e descredenciamento no SICAF, pelo prazo de até cinco anos;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penalidade de multa pode ser aplicada cumulativamente com as demais sanções.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Se, durante o processo de aplicação de penalidade, se houver indícios de prática de infração administrativa tipificada pela Lei n.°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A apuração e o julgamento das demais infrações administrativas não consideradas como ato lesivo à Administração Pública nacional ou estrangeira nos termos da Lei n.° 12.846, de 1º de agosto de 2013, seguirão seu rito normal na unidade administrativa.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Caso o valor da multa não seja suficiente para cobrir os prejuízos causados pela conduta do licitante, a União ou Entidade poderá cobrar o valor remanescente judicialmente, conforme artigo 419 do Código Civil.</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aplicação de qualquer das penalidades previstas realizar-se-á em processo administrativo que assegurará o contraditório e a ampla defesa ao licitante/adjudicatário, observando-se o procedimento previsto na Lei n.° 8.666, de 1993, e subsidiariamente na Lei n.° 9.784, de 1999.</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Não correrão os prazos processuais em desfavor da CONTRATADA em processo administrativo para aplicação das sanções deste item enquanto perdurar o estado de calamidade de que trata o Decreto Legislativo n.° 6, de 2020, nos termos do art. 6º-C da Lei n.° 13.979/20.</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autoridade competente, na aplicação das sanções, levará em consideração a gravidade da conduta do infrator, o caráter educativo da pena, bem como o dano causado à Administração, observado o princípio da proporcionalidade.</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As penalidades serão obrigatoriamente registradas no SICAF.</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As sanções por atos praticados no decorrer da contratação estão previstas no Termo de Referência.</w:t>
      </w:r>
    </w:p>
    <w:p>
      <w:pPr>
        <w:numPr>
          <w:ilvl w:val="0"/>
          <w:numId w:val="0"/>
        </w:numPr>
        <w:spacing w:before="120" w:after="120" w:line="276" w:lineRule="auto"/>
        <w:ind w:left="425" w:leftChars="0"/>
        <w:jc w:val="both"/>
        <w:rPr>
          <w:rFonts w:hint="default" w:ascii="Arial" w:hAnsi="Arial" w:cs="Arial"/>
          <w:b w:val="0"/>
          <w:bCs w:val="0"/>
          <w:color w:val="000000"/>
          <w:sz w:val="21"/>
          <w:szCs w:val="21"/>
          <w:lang w:val="pt-BR" w:eastAsia="en-US"/>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DA IMPUGNAÇÃO AO EDITAL E DO PEDIDO DE ESCLARECIMENTO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Até </w:t>
      </w:r>
      <w:r>
        <w:rPr>
          <w:rFonts w:hint="default" w:ascii="Arial" w:hAnsi="Arial" w:cs="Arial"/>
          <w:b/>
          <w:bCs/>
          <w:i/>
          <w:iCs/>
          <w:color w:val="000000"/>
          <w:sz w:val="21"/>
          <w:szCs w:val="21"/>
          <w:lang w:val="pt-BR" w:eastAsia="en-US"/>
        </w:rPr>
        <w:t>3 (três) dias úteis</w:t>
      </w:r>
      <w:r>
        <w:rPr>
          <w:rFonts w:hint="default" w:ascii="Arial" w:hAnsi="Arial" w:cs="Arial"/>
          <w:b w:val="0"/>
          <w:bCs w:val="0"/>
          <w:color w:val="000000"/>
          <w:sz w:val="21"/>
          <w:szCs w:val="21"/>
          <w:lang w:val="pt-BR" w:eastAsia="en-US"/>
        </w:rPr>
        <w:t xml:space="preserve"> antes da data designada para a abertura da sessão pública, qualquer pessoa poderá impugnar este Edital.</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pt-BR"/>
        </w:rPr>
      </w:pPr>
      <w:r>
        <w:rPr>
          <w:rFonts w:hint="default" w:ascii="Arial" w:hAnsi="Arial" w:cs="Arial"/>
          <w:b w:val="0"/>
          <w:bCs w:val="0"/>
          <w:color w:val="000000"/>
          <w:sz w:val="21"/>
          <w:szCs w:val="21"/>
          <w:lang w:val="pt-BR" w:eastAsia="en-US"/>
        </w:rPr>
        <w:t xml:space="preserve">A impugnação poderá ser realizada por forma eletrônica, pelo e-mail: </w:t>
      </w:r>
      <w:r>
        <w:rPr>
          <w:rStyle w:val="19"/>
          <w:rFonts w:hint="default" w:ascii="Arial" w:hAnsi="Arial" w:cs="Arial"/>
          <w:sz w:val="21"/>
          <w:szCs w:val="21"/>
          <w:lang w:val="pt-BR" w:eastAsia="en-US"/>
        </w:rPr>
        <w:fldChar w:fldCharType="begin"/>
      </w:r>
      <w:r>
        <w:rPr>
          <w:rStyle w:val="19"/>
          <w:rFonts w:hint="default" w:ascii="Arial" w:hAnsi="Arial" w:cs="Arial"/>
          <w:sz w:val="21"/>
          <w:szCs w:val="21"/>
          <w:lang w:val="pt-BR" w:eastAsia="en-US"/>
        </w:rPr>
        <w:instrText xml:space="preserve"> HYPERLINK "mailto:licitacao@ifpb.edu.br" </w:instrText>
      </w:r>
      <w:r>
        <w:rPr>
          <w:rStyle w:val="19"/>
          <w:rFonts w:hint="default" w:ascii="Arial" w:hAnsi="Arial" w:cs="Arial"/>
          <w:sz w:val="21"/>
          <w:szCs w:val="21"/>
          <w:lang w:val="pt-BR" w:eastAsia="en-US"/>
        </w:rPr>
        <w:fldChar w:fldCharType="separate"/>
      </w:r>
      <w:r>
        <w:rPr>
          <w:rStyle w:val="19"/>
          <w:rFonts w:hint="default" w:ascii="Arial" w:hAnsi="Arial" w:cs="Arial"/>
          <w:sz w:val="21"/>
          <w:szCs w:val="21"/>
          <w:lang w:val="pt-BR" w:eastAsia="en-US"/>
        </w:rPr>
        <w:t>licitacao@ifpb.edu.br</w:t>
      </w:r>
      <w:r>
        <w:rPr>
          <w:rStyle w:val="19"/>
          <w:rFonts w:hint="default" w:ascii="Arial" w:hAnsi="Arial" w:cs="Arial"/>
          <w:sz w:val="21"/>
          <w:szCs w:val="21"/>
          <w:lang w:val="pt-BR" w:eastAsia="en-US"/>
        </w:rPr>
        <w:fldChar w:fldCharType="end"/>
      </w:r>
      <w:r>
        <w:rPr>
          <w:rFonts w:hint="default" w:ascii="Arial" w:hAnsi="Arial" w:cs="Arial"/>
          <w:b w:val="0"/>
          <w:bCs w:val="0"/>
          <w:color w:val="000000"/>
          <w:sz w:val="21"/>
          <w:szCs w:val="21"/>
          <w:lang w:val="pt-BR" w:eastAsia="en-US"/>
        </w:rPr>
        <w:t>,</w:t>
      </w:r>
      <w:r>
        <w:rPr>
          <w:rFonts w:hint="default" w:ascii="Arial" w:hAnsi="Arial" w:cs="Arial"/>
          <w:b w:val="0"/>
          <w:bCs w:val="0"/>
          <w:color w:val="000000"/>
          <w:sz w:val="21"/>
          <w:szCs w:val="21"/>
          <w:lang w:val="pt-BR" w:eastAsia="pt-BR"/>
        </w:rPr>
        <w:t xml:space="preserve"> ou por petição dirigida ou protocolada no endereço</w:t>
      </w:r>
      <w:r>
        <w:rPr>
          <w:rFonts w:hint="default" w:ascii="Arial" w:hAnsi="Arial" w:cs="Arial"/>
          <w:b w:val="0"/>
          <w:bCs w:val="0"/>
          <w:color w:val="000000"/>
          <w:sz w:val="21"/>
          <w:szCs w:val="21"/>
          <w:lang w:val="en-US" w:eastAsia="pt-BR"/>
        </w:rPr>
        <w:t>:</w:t>
      </w:r>
      <w:r>
        <w:rPr>
          <w:rFonts w:hint="default" w:ascii="Arial" w:hAnsi="Arial" w:cs="Arial"/>
          <w:b w:val="0"/>
          <w:bCs w:val="0"/>
          <w:color w:val="000000"/>
          <w:sz w:val="21"/>
          <w:szCs w:val="21"/>
          <w:lang w:val="pt-BR" w:eastAsia="pt-BR"/>
        </w:rPr>
        <w:t xml:space="preserve"> </w:t>
      </w:r>
      <w:r>
        <w:rPr>
          <w:rFonts w:hint="default" w:ascii="Arial" w:hAnsi="Arial" w:cs="Arial"/>
          <w:b/>
          <w:bCs/>
          <w:i/>
          <w:iCs/>
          <w:color w:val="000000"/>
          <w:sz w:val="21"/>
          <w:szCs w:val="21"/>
          <w:lang w:val="pt-BR" w:eastAsia="pt-BR"/>
        </w:rPr>
        <w:t>Av. Almirante Barroso, 1077 - Centro - João Pessoa - PB - CEP: 58.013-120, Diretoria de Compras, Contratos e Licitações.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Caberá ao Pregoeiro, auxiliado pelos responsáveis pela elaboração deste Edital e seus anexos, decidir sobre a impugnação no prazo de até </w:t>
      </w:r>
      <w:r>
        <w:rPr>
          <w:rFonts w:hint="default" w:ascii="Arial" w:hAnsi="Arial" w:cs="Arial"/>
          <w:b/>
          <w:bCs/>
          <w:i/>
          <w:iCs/>
          <w:color w:val="000000"/>
          <w:sz w:val="21"/>
          <w:szCs w:val="21"/>
          <w:lang w:val="pt-BR" w:eastAsia="en-US"/>
        </w:rPr>
        <w:t>2 (dois) dias úteis</w:t>
      </w:r>
      <w:r>
        <w:rPr>
          <w:rFonts w:hint="default" w:ascii="Arial" w:hAnsi="Arial" w:cs="Arial"/>
          <w:b w:val="0"/>
          <w:bCs w:val="0"/>
          <w:color w:val="000000"/>
          <w:sz w:val="21"/>
          <w:szCs w:val="21"/>
          <w:lang w:val="pt-BR" w:eastAsia="en-US"/>
        </w:rPr>
        <w:t xml:space="preserve"> contados da data de recebimento da impugnação.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Acolhida a impugnação, será definida e publicada nova data para a realização do certame.</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Os pedidos de esclarecimentos referentes a este processo licitatório deverão ser enviados ao Pregoeiro, até </w:t>
      </w:r>
      <w:r>
        <w:rPr>
          <w:rFonts w:hint="default" w:ascii="Arial" w:hAnsi="Arial" w:cs="Arial"/>
          <w:b/>
          <w:bCs/>
          <w:i/>
          <w:iCs/>
          <w:color w:val="000000"/>
          <w:sz w:val="21"/>
          <w:szCs w:val="21"/>
          <w:lang w:val="pt-BR" w:eastAsia="en-US"/>
        </w:rPr>
        <w:t>3 (três) dias úteis</w:t>
      </w:r>
      <w:r>
        <w:rPr>
          <w:rFonts w:hint="default" w:ascii="Arial" w:hAnsi="Arial" w:cs="Arial"/>
          <w:b w:val="0"/>
          <w:bCs w:val="0"/>
          <w:color w:val="000000"/>
          <w:sz w:val="21"/>
          <w:szCs w:val="21"/>
          <w:lang w:val="pt-BR" w:eastAsia="en-US"/>
        </w:rPr>
        <w:t xml:space="preserve"> anteriores à data designada para abertura da sessão pública, exclusivamente por meio eletrônico via internet, no endereço indicado no Edital.</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O pregoeiro responderá aos pedidos de esclarecimentos no prazo de </w:t>
      </w:r>
      <w:r>
        <w:rPr>
          <w:rFonts w:hint="default" w:ascii="Arial" w:hAnsi="Arial" w:cs="Arial"/>
          <w:b/>
          <w:bCs/>
          <w:i/>
          <w:iCs/>
          <w:color w:val="000000"/>
          <w:sz w:val="21"/>
          <w:szCs w:val="21"/>
          <w:lang w:val="pt-BR" w:eastAsia="en-US"/>
        </w:rPr>
        <w:t>2 (dois) dias úteis</w:t>
      </w:r>
      <w:r>
        <w:rPr>
          <w:rFonts w:hint="default" w:ascii="Arial" w:hAnsi="Arial" w:cs="Arial"/>
          <w:b w:val="0"/>
          <w:bCs w:val="0"/>
          <w:color w:val="000000"/>
          <w:sz w:val="21"/>
          <w:szCs w:val="21"/>
          <w:lang w:val="pt-BR" w:eastAsia="en-US"/>
        </w:rPr>
        <w:t>, contado da data de recebimento do pedido, e poderá requisitar subsídios formais aos responsáveis pela elaboração do edital e dos anexos.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As impugnações e pedidos de esclarecimentos não suspendem os prazos previstos no certame.</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concessão de efeito suspensivo à impugnação é medida excepcional e deverá ser motivada pelo pregoeiro, nos autos do processo de licitação.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As respostas aos pedidos de esclarecimentos serão divulgadas pelo sistema e vincularão os participantes e a administração.</w:t>
      </w:r>
    </w:p>
    <w:p>
      <w:pPr>
        <w:spacing w:before="120" w:after="120" w:line="276" w:lineRule="auto"/>
        <w:ind w:left="999"/>
        <w:jc w:val="both"/>
        <w:rPr>
          <w:rFonts w:hint="default" w:ascii="Arial" w:hAnsi="Arial" w:cs="Arial"/>
          <w:color w:val="000000"/>
          <w:sz w:val="21"/>
          <w:szCs w:val="21"/>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DAS DISPOSIÇÕES GERAIS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Da sessão pública do Pregão divulgar-se-á Ata no sistema eletrônico.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Todas as referências de tempo no Edital, no aviso e durante a sessão pública observarão o horário de Brasília – DF.</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homologação do resultado desta licitação não implicará direito à contratação.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Os licitantes assumem todos os custos de preparação e apresentação de suas propostas e a Administração não será, em nenhum caso, responsável por esses custos, independentemente da condução ou do resultado do processo licitatório.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Na contagem dos prazos estabelecidos neste Edital e seus Anexos, excluir-se-á o dia do início e incluir-se-á o do vencimento. Só se iniciam e vencem os prazos em dias de expediente na Administração.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 desatendimento de exigências formais não essenciais não importará o afastamento do licitante, desde que seja possível o aproveitamento do ato, observados os princípios da isonomia e do interesse público.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Em caso de divergência entre disposições deste Edital e de seus anexos ou demais peças que compõem o processo, prevalecerá as deste Edital.</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O Edital está disponibilizado, na íntegra, no endereço eletrônico </w:t>
      </w:r>
      <w:r>
        <w:rPr>
          <w:rStyle w:val="19"/>
          <w:rFonts w:hint="default" w:ascii="Arial" w:hAnsi="Arial" w:cs="Arial"/>
          <w:sz w:val="21"/>
          <w:szCs w:val="21"/>
          <w:lang w:val="pt-BR" w:eastAsia="en-US"/>
        </w:rPr>
        <w:fldChar w:fldCharType="begin"/>
      </w:r>
      <w:r>
        <w:rPr>
          <w:rStyle w:val="19"/>
          <w:rFonts w:hint="default" w:ascii="Arial" w:hAnsi="Arial" w:cs="Arial"/>
          <w:sz w:val="21"/>
          <w:szCs w:val="21"/>
          <w:lang w:val="pt-BR" w:eastAsia="en-US"/>
        </w:rPr>
        <w:instrText xml:space="preserve"> HYPERLINK "http://www.comprasgovernamentais.gov.br" </w:instrText>
      </w:r>
      <w:r>
        <w:rPr>
          <w:rStyle w:val="19"/>
          <w:rFonts w:hint="default" w:ascii="Arial" w:hAnsi="Arial" w:cs="Arial"/>
          <w:sz w:val="21"/>
          <w:szCs w:val="21"/>
          <w:lang w:val="pt-BR" w:eastAsia="en-US"/>
        </w:rPr>
        <w:fldChar w:fldCharType="separate"/>
      </w:r>
      <w:r>
        <w:rPr>
          <w:rStyle w:val="19"/>
          <w:rFonts w:hint="default" w:ascii="Arial" w:hAnsi="Arial" w:cs="Arial"/>
          <w:sz w:val="21"/>
          <w:szCs w:val="21"/>
          <w:lang w:val="pt-BR" w:eastAsia="en-US"/>
        </w:rPr>
        <w:t>http://www.comprasgovernamentais.gov.br</w:t>
      </w:r>
      <w:r>
        <w:rPr>
          <w:rStyle w:val="19"/>
          <w:rFonts w:hint="default" w:ascii="Arial" w:hAnsi="Arial" w:cs="Arial"/>
          <w:sz w:val="21"/>
          <w:szCs w:val="21"/>
          <w:lang w:val="pt-BR" w:eastAsia="en-US"/>
        </w:rPr>
        <w:fldChar w:fldCharType="end"/>
      </w:r>
      <w:r>
        <w:rPr>
          <w:rFonts w:hint="default" w:ascii="Arial" w:hAnsi="Arial" w:cs="Arial"/>
          <w:b w:val="0"/>
          <w:bCs w:val="0"/>
          <w:color w:val="000000"/>
          <w:sz w:val="21"/>
          <w:szCs w:val="21"/>
          <w:lang w:val="pt-BR" w:eastAsia="en-US"/>
        </w:rPr>
        <w:t xml:space="preserve"> e </w:t>
      </w:r>
      <w:r>
        <w:rPr>
          <w:rStyle w:val="19"/>
          <w:rFonts w:hint="default" w:ascii="Arial" w:hAnsi="Arial" w:cs="Arial"/>
          <w:sz w:val="21"/>
          <w:szCs w:val="21"/>
          <w:lang w:val="pt-BR" w:eastAsia="en-US"/>
        </w:rPr>
        <w:fldChar w:fldCharType="begin"/>
      </w:r>
      <w:r>
        <w:rPr>
          <w:rStyle w:val="19"/>
          <w:rFonts w:hint="default" w:ascii="Arial" w:hAnsi="Arial" w:cs="Arial"/>
          <w:sz w:val="21"/>
          <w:szCs w:val="21"/>
          <w:lang w:val="pt-BR" w:eastAsia="en-US"/>
        </w:rPr>
        <w:instrText xml:space="preserve"> HYPERLINK "http://www.ifpb.edu.br/transparencia/licitacoes" </w:instrText>
      </w:r>
      <w:r>
        <w:rPr>
          <w:rStyle w:val="19"/>
          <w:rFonts w:hint="default" w:ascii="Arial" w:hAnsi="Arial" w:cs="Arial"/>
          <w:sz w:val="21"/>
          <w:szCs w:val="21"/>
          <w:lang w:val="pt-BR" w:eastAsia="en-US"/>
        </w:rPr>
        <w:fldChar w:fldCharType="separate"/>
      </w:r>
      <w:r>
        <w:rPr>
          <w:rStyle w:val="19"/>
          <w:rFonts w:hint="default" w:ascii="Arial" w:hAnsi="Arial" w:cs="Arial"/>
          <w:sz w:val="21"/>
          <w:szCs w:val="21"/>
          <w:lang w:val="pt-BR" w:eastAsia="en-US"/>
        </w:rPr>
        <w:t>http://www.ifpb.edu.br/transparencia/licitacoes</w:t>
      </w:r>
      <w:r>
        <w:rPr>
          <w:rStyle w:val="19"/>
          <w:rFonts w:hint="default" w:ascii="Arial" w:hAnsi="Arial" w:cs="Arial"/>
          <w:sz w:val="21"/>
          <w:szCs w:val="21"/>
          <w:lang w:val="pt-BR" w:eastAsia="en-US"/>
        </w:rPr>
        <w:fldChar w:fldCharType="end"/>
      </w:r>
      <w:r>
        <w:rPr>
          <w:rFonts w:hint="default" w:ascii="Arial" w:hAnsi="Arial" w:cs="Arial"/>
          <w:b w:val="0"/>
          <w:bCs w:val="0"/>
          <w:color w:val="000000"/>
          <w:sz w:val="21"/>
          <w:szCs w:val="21"/>
          <w:lang w:val="pt-BR" w:eastAsia="en-US"/>
        </w:rPr>
        <w:t xml:space="preserve">, e também poderá ser lido e/ou obtido no endereço: </w:t>
      </w:r>
      <w:r>
        <w:rPr>
          <w:rFonts w:hint="default" w:ascii="Arial" w:hAnsi="Arial" w:cs="Arial"/>
          <w:b/>
          <w:bCs/>
          <w:i/>
          <w:iCs/>
          <w:color w:val="auto"/>
          <w:sz w:val="21"/>
          <w:szCs w:val="21"/>
          <w:lang w:val="pt-BR" w:eastAsia="en-US"/>
        </w:rPr>
        <w:t>Av. Almirante Barroso, 1077 – Centro – CEP: 58.013-120 – João Pessoa/PB, nos dias úteis, no horário das 08:00 às 12:00 horas e das 14:00 às 18:00 horas</w:t>
      </w:r>
      <w:r>
        <w:rPr>
          <w:rFonts w:hint="default" w:ascii="Arial" w:hAnsi="Arial" w:cs="Arial"/>
          <w:b w:val="0"/>
          <w:bCs w:val="0"/>
          <w:color w:val="000000"/>
          <w:sz w:val="21"/>
          <w:szCs w:val="21"/>
          <w:lang w:val="pt-BR" w:eastAsia="en-US"/>
        </w:rPr>
        <w:t>, mesmo endereço e período no qual os autos do processo administrativo permanecerão com vista franqueada aos interessados.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Integram este Edital, para todos os fins e efeitos, os seguintes anexos:</w:t>
      </w:r>
    </w:p>
    <w:p>
      <w:pPr>
        <w:keepNext w:val="0"/>
        <w:keepLines w:val="0"/>
        <w:pageBreakBefore w:val="0"/>
        <w:widowControl/>
        <w:numPr>
          <w:ilvl w:val="2"/>
          <w:numId w:val="2"/>
        </w:numPr>
        <w:kinsoku/>
        <w:wordWrap/>
        <w:overflowPunct/>
        <w:topLinePunct w:val="0"/>
        <w:autoSpaceDE/>
        <w:autoSpaceDN/>
        <w:bidi w:val="0"/>
        <w:adjustRightInd/>
        <w:snapToGrid/>
        <w:spacing w:line="240" w:lineRule="auto"/>
        <w:ind w:left="845" w:leftChars="0" w:firstLine="0"/>
        <w:jc w:val="both"/>
        <w:textAlignment w:val="auto"/>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ANEXO I - Termo de Referência</w:t>
      </w:r>
    </w:p>
    <w:p>
      <w:pPr>
        <w:keepNext w:val="0"/>
        <w:keepLines w:val="0"/>
        <w:pageBreakBefore w:val="0"/>
        <w:widowControl/>
        <w:numPr>
          <w:ilvl w:val="2"/>
          <w:numId w:val="2"/>
        </w:numPr>
        <w:kinsoku/>
        <w:wordWrap/>
        <w:overflowPunct/>
        <w:topLinePunct w:val="0"/>
        <w:autoSpaceDE/>
        <w:autoSpaceDN/>
        <w:bidi w:val="0"/>
        <w:adjustRightInd/>
        <w:snapToGrid/>
        <w:spacing w:line="240" w:lineRule="auto"/>
        <w:ind w:left="845" w:leftChars="0" w:firstLine="0"/>
        <w:jc w:val="both"/>
        <w:textAlignment w:val="auto"/>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APÊNDICE - Estudos Técnicos Preliminares</w:t>
      </w:r>
    </w:p>
    <w:p>
      <w:pPr>
        <w:tabs>
          <w:tab w:val="left" w:pos="1440"/>
        </w:tabs>
        <w:autoSpaceDE w:val="0"/>
        <w:snapToGrid w:val="0"/>
        <w:spacing w:before="120" w:after="120"/>
        <w:ind w:left="1134"/>
        <w:jc w:val="right"/>
        <w:rPr>
          <w:rFonts w:hint="default" w:ascii="Arial" w:hAnsi="Arial" w:cs="Arial"/>
          <w:iCs/>
          <w:sz w:val="21"/>
          <w:szCs w:val="21"/>
        </w:rPr>
      </w:pPr>
      <w:r>
        <w:rPr>
          <w:rFonts w:hint="default" w:ascii="Arial" w:hAnsi="Arial" w:cs="Arial"/>
          <w:iCs/>
          <w:sz w:val="21"/>
          <w:szCs w:val="21"/>
        </w:rPr>
        <w:t xml:space="preserve">João Pessoa - PB,  </w:t>
      </w:r>
      <w:r>
        <w:rPr>
          <w:rFonts w:hint="default" w:ascii="Arial" w:hAnsi="Arial" w:cs="Arial"/>
          <w:iCs/>
          <w:sz w:val="21"/>
          <w:szCs w:val="21"/>
          <w:lang w:val="pt-BR"/>
        </w:rPr>
        <w:t xml:space="preserve">03 </w:t>
      </w:r>
      <w:r>
        <w:rPr>
          <w:rFonts w:hint="default" w:ascii="Arial" w:hAnsi="Arial" w:cs="Arial"/>
          <w:iCs/>
          <w:sz w:val="21"/>
          <w:szCs w:val="21"/>
        </w:rPr>
        <w:t xml:space="preserve">de </w:t>
      </w:r>
      <w:r>
        <w:rPr>
          <w:rFonts w:hint="default" w:ascii="Arial" w:hAnsi="Arial" w:cs="Arial"/>
          <w:iCs/>
          <w:sz w:val="21"/>
          <w:szCs w:val="21"/>
          <w:lang w:val="pt-BR"/>
        </w:rPr>
        <w:t>novembro</w:t>
      </w:r>
      <w:r>
        <w:rPr>
          <w:rFonts w:hint="default" w:ascii="Arial" w:hAnsi="Arial" w:cs="Arial"/>
          <w:iCs/>
          <w:sz w:val="21"/>
          <w:szCs w:val="21"/>
        </w:rPr>
        <w:t xml:space="preserve"> de 2020.</w:t>
      </w:r>
    </w:p>
    <w:p>
      <w:pPr>
        <w:tabs>
          <w:tab w:val="left" w:pos="1440"/>
        </w:tabs>
        <w:autoSpaceDE w:val="0"/>
        <w:snapToGrid w:val="0"/>
        <w:spacing w:before="120" w:after="120"/>
        <w:ind w:left="1134"/>
        <w:jc w:val="right"/>
        <w:rPr>
          <w:rFonts w:hint="default" w:ascii="Arial" w:hAnsi="Arial" w:cs="Arial"/>
          <w:iCs/>
          <w:sz w:val="21"/>
          <w:szCs w:val="21"/>
        </w:rPr>
      </w:pPr>
    </w:p>
    <w:p>
      <w:pPr>
        <w:keepNext w:val="0"/>
        <w:keepLines w:val="0"/>
        <w:pageBreakBefore w:val="0"/>
        <w:widowControl/>
        <w:tabs>
          <w:tab w:val="left" w:pos="1440"/>
        </w:tabs>
        <w:kinsoku/>
        <w:wordWrap/>
        <w:overflowPunct/>
        <w:topLinePunct w:val="0"/>
        <w:autoSpaceDE w:val="0"/>
        <w:autoSpaceDN/>
        <w:bidi w:val="0"/>
        <w:adjustRightInd/>
        <w:snapToGrid w:val="0"/>
        <w:jc w:val="center"/>
        <w:textAlignment w:val="auto"/>
        <w:rPr>
          <w:rFonts w:hint="default" w:ascii="Arial" w:hAnsi="Arial" w:cs="Arial"/>
          <w:b/>
          <w:bCs/>
          <w:iCs/>
          <w:sz w:val="21"/>
          <w:szCs w:val="21"/>
        </w:rPr>
      </w:pPr>
      <w:r>
        <w:rPr>
          <w:rFonts w:hint="default" w:ascii="Arial" w:hAnsi="Arial" w:cs="Arial"/>
          <w:b/>
          <w:bCs/>
          <w:iCs/>
          <w:sz w:val="21"/>
          <w:szCs w:val="21"/>
        </w:rPr>
        <w:t>CARLOS DIEGO DOS SANTOS CARVALHO</w:t>
      </w:r>
      <w:bookmarkStart w:id="0" w:name="_GoBack"/>
      <w:bookmarkEnd w:id="0"/>
    </w:p>
    <w:p>
      <w:pPr>
        <w:keepNext w:val="0"/>
        <w:keepLines w:val="0"/>
        <w:pageBreakBefore w:val="0"/>
        <w:widowControl/>
        <w:tabs>
          <w:tab w:val="left" w:pos="1440"/>
        </w:tabs>
        <w:kinsoku/>
        <w:wordWrap/>
        <w:overflowPunct/>
        <w:topLinePunct w:val="0"/>
        <w:autoSpaceDE w:val="0"/>
        <w:autoSpaceDN/>
        <w:bidi w:val="0"/>
        <w:adjustRightInd/>
        <w:snapToGrid w:val="0"/>
        <w:jc w:val="center"/>
        <w:textAlignment w:val="auto"/>
        <w:rPr>
          <w:rFonts w:hint="default" w:ascii="Arial" w:hAnsi="Arial" w:cs="Arial"/>
          <w:sz w:val="21"/>
          <w:szCs w:val="21"/>
        </w:rPr>
      </w:pPr>
      <w:r>
        <w:rPr>
          <w:rFonts w:hint="default" w:ascii="Arial" w:hAnsi="Arial" w:cs="Arial"/>
          <w:iCs/>
          <w:sz w:val="21"/>
          <w:szCs w:val="21"/>
        </w:rPr>
        <w:t>Diretoria de Compras, Contratos e Licitações</w:t>
      </w:r>
    </w:p>
    <w:sectPr>
      <w:headerReference r:id="rId4" w:type="default"/>
      <w:footerReference r:id="rId5" w:type="default"/>
      <w:pgSz w:w="11906" w:h="16838"/>
      <w:pgMar w:top="1418" w:right="1134" w:bottom="1418" w:left="1701"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MS Mincho">
    <w:panose1 w:val="02020609040205080304"/>
    <w:charset w:val="86"/>
    <w:family w:val="auto"/>
    <w:pitch w:val="default"/>
    <w:sig w:usb0="A00002BF" w:usb1="68C7FCFB" w:usb2="00000010" w:usb3="00000000" w:csb0="4002009F" w:csb1="DFD70000"/>
  </w:font>
  <w:font w:name="MS Mincho">
    <w:panose1 w:val="02020609040205080304"/>
    <w:charset w:val="80"/>
    <w:family w:val="auto"/>
    <w:pitch w:val="default"/>
    <w:sig w:usb0="A00002BF" w:usb1="68C7FCFB" w:usb2="00000010" w:usb3="00000000" w:csb0="4002009F" w:csb1="DFD70000"/>
  </w:font>
  <w:font w:name="Ecofont_Spranq_eco_Sans">
    <w:altName w:val="Cambria"/>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MS Gothic">
    <w:panose1 w:val="020B0609070205080204"/>
    <w:charset w:val="80"/>
    <w:family w:val="auto"/>
    <w:pitch w:val="default"/>
    <w:sig w:usb0="E00002FF" w:usb1="6AC7FDFB" w:usb2="08000012" w:usb3="00000000" w:csb0="4002009F" w:csb1="DFD70000"/>
  </w:font>
  <w:font w:name="WenQuanYi Micro Hei">
    <w:altName w:val="Liberation Mono"/>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Arial Unicode MS">
    <w:panose1 w:val="020B0604020202020204"/>
    <w:charset w:val="86"/>
    <w:family w:val="roman"/>
    <w:pitch w:val="default"/>
    <w:sig w:usb0="FFFFFFFF" w:usb1="E9FFFFFF" w:usb2="0000003F" w:usb3="00000000" w:csb0="603F01FF" w:csb1="FFFF0000"/>
  </w:font>
  <w:font w:name="Mangal">
    <w:altName w:val="Miriam Mono CLM"/>
    <w:panose1 w:val="02040503050203030202"/>
    <w:charset w:val="00"/>
    <w:family w:val="roman"/>
    <w:pitch w:val="default"/>
    <w:sig w:usb0="00000000" w:usb1="00000000" w:usb2="00000000" w:usb3="00000000" w:csb0="00000001" w:csb1="00000000"/>
  </w:font>
  <w:font w:name="Carlito">
    <w:panose1 w:val="020F0502020204030204"/>
    <w:charset w:val="00"/>
    <w:family w:val="swiss"/>
    <w:pitch w:val="default"/>
    <w:sig w:usb0="E10002FF" w:usb1="5000ECFF" w:usb2="00000009" w:usb3="00000000" w:csb0="2000019F" w:csb1="00000000"/>
  </w:font>
  <w:font w:name="Cambria">
    <w:panose1 w:val="02040503050406030204"/>
    <w:charset w:val="00"/>
    <w:family w:val="auto"/>
    <w:pitch w:val="default"/>
    <w:sig w:usb0="E00006FF" w:usb1="420024FF" w:usb2="02000000" w:usb3="00000000" w:csb0="2000019F" w:csb1="00000000"/>
  </w:font>
  <w:font w:name="Liberation Mono">
    <w:panose1 w:val="02070409020205020404"/>
    <w:charset w:val="00"/>
    <w:family w:val="auto"/>
    <w:pitch w:val="default"/>
    <w:sig w:usb0="E0000AFF" w:usb1="400078FF" w:usb2="00000001" w:usb3="00000000" w:csb0="600001BF" w:csb1="DFF70000"/>
  </w:font>
  <w:font w:name="Miriam Mono CLM">
    <w:panose1 w:val="02000503000000000000"/>
    <w:charset w:val="00"/>
    <w:family w:val="auto"/>
    <w:pitch w:val="default"/>
    <w:sig w:usb0="80000803" w:usb1="50002802"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rPr>
        <w:rFonts w:ascii="Times New Roman" w:hAnsi="Times New Roman" w:cs="Times New Roman"/>
      </w:rPr>
    </w:pPr>
    <w:r>
      <w:rPr>
        <w:rFonts w:ascii="Times New Roman" w:hAnsi="Times New Roman" w:cs="Times New Roman"/>
      </w:rPr>
      <w:t>__________________________________________________________________</w:t>
    </w:r>
  </w:p>
  <w:p>
    <w:pPr>
      <w:rPr>
        <w:rFonts w:hint="default" w:ascii="Arial" w:hAnsi="Arial" w:cs="Arial"/>
        <w:b/>
        <w:bCs/>
        <w:sz w:val="13"/>
        <w:szCs w:val="13"/>
      </w:rPr>
    </w:pPr>
    <w:r>
      <w:rPr>
        <w:rFonts w:hint="default" w:ascii="Arial" w:hAnsi="Arial" w:cs="Arial"/>
        <w:b/>
        <w:bCs/>
        <w:sz w:val="13"/>
        <w:szCs w:val="13"/>
      </w:rPr>
      <w:t>Diretoria de Compras, Contratos e Licitações</w:t>
    </w:r>
  </w:p>
  <w:p>
    <w:pPr>
      <w:rPr>
        <w:rFonts w:hint="default" w:ascii="Arial" w:hAnsi="Arial" w:cs="Arial"/>
        <w:sz w:val="13"/>
        <w:szCs w:val="13"/>
      </w:rPr>
    </w:pPr>
    <w:r>
      <w:rPr>
        <w:rFonts w:hint="default" w:ascii="Arial" w:hAnsi="Arial" w:cs="Arial"/>
        <w:sz w:val="13"/>
        <w:szCs w:val="13"/>
      </w:rPr>
      <w:t>Av. Almirante Barroso, 1077, Centro, João Pessoa/PB, CEP: 58.013-120</w:t>
    </w:r>
  </w:p>
  <w:p>
    <w:r>
      <w:rPr>
        <w:rFonts w:hint="default" w:ascii="Arial" w:hAnsi="Arial" w:cs="Arial"/>
        <w:sz w:val="13"/>
        <w:szCs w:val="13"/>
      </w:rPr>
      <w:t>(83) 3612-9161 - licitacao@ifpb.edu.</w:t>
    </w:r>
    <w:r>
      <w:rPr>
        <w:rFonts w:hint="default" w:cs="Arial"/>
        <w:sz w:val="13"/>
        <w:szCs w:val="13"/>
        <w:lang w:val="pt-BR"/>
      </w:rPr>
      <w:t>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14"/>
        <w:snapToGrid w:val="0"/>
        <w:jc w:val="both"/>
        <w:rPr>
          <w:rFonts w:hint="default" w:ascii="Arial" w:hAnsi="Arial" w:cs="Arial"/>
          <w:sz w:val="16"/>
          <w:szCs w:val="16"/>
          <w:lang w:val="pt-BR"/>
        </w:rPr>
      </w:pPr>
      <w:r>
        <w:rPr>
          <w:rStyle w:val="18"/>
          <w:rFonts w:hint="default" w:ascii="Arial" w:hAnsi="Arial" w:cs="Arial"/>
          <w:sz w:val="16"/>
          <w:szCs w:val="16"/>
        </w:rPr>
        <w:footnoteRef/>
      </w:r>
      <w:r>
        <w:rPr>
          <w:rFonts w:hint="default" w:ascii="Arial" w:hAnsi="Arial" w:cs="Arial"/>
          <w:sz w:val="16"/>
          <w:szCs w:val="16"/>
        </w:rPr>
        <w:t xml:space="preserve"> </w:t>
      </w:r>
      <w:r>
        <w:rPr>
          <w:rFonts w:hint="default" w:ascii="Arial" w:hAnsi="Arial" w:cs="Arial"/>
          <w:sz w:val="16"/>
          <w:szCs w:val="16"/>
          <w:lang w:val="pt-BR"/>
        </w:rPr>
        <w:t>O objeto da presente contratação não se enquadra no fornecimento de bens de informática,  motivo pelo qual o(s) presente(s) item(ns) foi(ram) suprimido(s)</w:t>
      </w:r>
    </w:p>
  </w:footnote>
  <w:footnote w:id="1">
    <w:p>
      <w:pPr>
        <w:pStyle w:val="14"/>
        <w:snapToGrid w:val="0"/>
        <w:jc w:val="both"/>
        <w:rPr>
          <w:rFonts w:hint="default" w:ascii="Arial" w:hAnsi="Arial" w:cs="Arial"/>
          <w:sz w:val="16"/>
          <w:szCs w:val="16"/>
          <w:lang w:val="pt-BR"/>
        </w:rPr>
      </w:pPr>
      <w:r>
        <w:rPr>
          <w:rStyle w:val="18"/>
          <w:rFonts w:hint="default" w:ascii="Arial" w:hAnsi="Arial" w:cs="Arial"/>
          <w:sz w:val="16"/>
          <w:szCs w:val="16"/>
        </w:rPr>
        <w:footnoteRef/>
      </w:r>
      <w:r>
        <w:rPr>
          <w:rFonts w:hint="default" w:ascii="Arial" w:hAnsi="Arial" w:cs="Arial"/>
          <w:sz w:val="16"/>
          <w:szCs w:val="16"/>
        </w:rPr>
        <w:t xml:space="preserve"> </w:t>
      </w:r>
      <w:r>
        <w:rPr>
          <w:rFonts w:hint="default" w:ascii="Arial" w:hAnsi="Arial" w:cs="Arial"/>
          <w:sz w:val="16"/>
          <w:szCs w:val="16"/>
          <w:lang w:val="pt-BR"/>
        </w:rPr>
        <w:t>O objeto da presente contratação não se enquadra no fornecimento de bens de informática, motivo pelo qual o(s) presente(s) item(ns) foi(ram) suprimido(s)</w:t>
      </w:r>
    </w:p>
  </w:footnote>
  <w:footnote w:id="2">
    <w:p>
      <w:pPr>
        <w:pStyle w:val="14"/>
        <w:snapToGrid w:val="0"/>
        <w:jc w:val="both"/>
        <w:rPr>
          <w:rFonts w:hint="default"/>
          <w:lang w:val="pt-BR"/>
        </w:rPr>
      </w:pPr>
      <w:r>
        <w:rPr>
          <w:rStyle w:val="18"/>
        </w:rPr>
        <w:footnoteRef/>
      </w:r>
      <w:r>
        <w:t xml:space="preserve"> </w:t>
      </w:r>
      <w:r>
        <w:rPr>
          <w:rFonts w:hint="default" w:ascii="Arial" w:hAnsi="Arial" w:cs="Arial"/>
          <w:sz w:val="16"/>
          <w:szCs w:val="16"/>
          <w:lang w:val="pt-BR"/>
        </w:rPr>
        <w:t>Não haverá exigência de apresentação de amostras,  motivo pelo qual o(s) presente(s) item(ns) foi(ram) suprimido(s)</w:t>
      </w:r>
    </w:p>
  </w:footnote>
  <w:footnote w:id="3">
    <w:p>
      <w:pPr>
        <w:pStyle w:val="14"/>
        <w:snapToGrid w:val="0"/>
        <w:jc w:val="both"/>
        <w:rPr>
          <w:rFonts w:hint="default" w:ascii="Arial" w:hAnsi="Arial" w:cs="Arial"/>
          <w:sz w:val="16"/>
          <w:szCs w:val="16"/>
          <w:lang w:val="pt-BR"/>
        </w:rPr>
      </w:pPr>
      <w:r>
        <w:rPr>
          <w:rStyle w:val="18"/>
          <w:rFonts w:hint="default" w:ascii="Arial" w:hAnsi="Arial" w:cs="Arial"/>
          <w:sz w:val="16"/>
          <w:szCs w:val="16"/>
        </w:rPr>
        <w:footnoteRef/>
      </w:r>
      <w:r>
        <w:rPr>
          <w:rFonts w:hint="default" w:ascii="Arial" w:hAnsi="Arial" w:cs="Arial"/>
          <w:sz w:val="16"/>
          <w:szCs w:val="16"/>
        </w:rPr>
        <w:t xml:space="preserve"> </w:t>
      </w:r>
      <w:r>
        <w:rPr>
          <w:rFonts w:hint="default" w:ascii="Arial" w:hAnsi="Arial" w:cs="Arial"/>
          <w:sz w:val="16"/>
          <w:szCs w:val="16"/>
          <w:lang w:val="pt-BR"/>
        </w:rPr>
        <w:t>A natureza do objeto da presente contratação não guarda relação com produtos derivados da agricultura familiar e ou de produtor rural,  motivo pelo qual o(s) presente(s) item(ns) foi(ram) suprimido(s)</w:t>
      </w:r>
    </w:p>
  </w:footnote>
  <w:footnote w:id="4">
    <w:p>
      <w:pPr>
        <w:pStyle w:val="14"/>
        <w:snapToGrid w:val="0"/>
        <w:jc w:val="both"/>
        <w:rPr>
          <w:rFonts w:hint="default"/>
          <w:lang w:val="pt-BR"/>
        </w:rPr>
      </w:pPr>
      <w:r>
        <w:rPr>
          <w:rStyle w:val="18"/>
        </w:rPr>
        <w:footnoteRef/>
      </w:r>
      <w:r>
        <w:rPr>
          <w:rFonts w:hint="default" w:ascii="Arial" w:hAnsi="Arial" w:cs="Arial"/>
          <w:sz w:val="16"/>
          <w:szCs w:val="16"/>
        </w:rPr>
        <w:t xml:space="preserve"> </w:t>
      </w:r>
      <w:r>
        <w:rPr>
          <w:rFonts w:hint="default" w:ascii="Arial" w:hAnsi="Arial" w:cs="Arial"/>
          <w:sz w:val="16"/>
          <w:szCs w:val="16"/>
          <w:lang w:val="pt-BR"/>
        </w:rPr>
        <w:t>A atividade relativa ao objeto licitado não traz exigências específicas quanto a atividade,  motivo pelo qual o(s) presente(s) item(ns) foi(ram) suprimido(s)</w:t>
      </w:r>
    </w:p>
  </w:footnote>
  <w:footnote w:id="5">
    <w:p>
      <w:pPr>
        <w:pStyle w:val="14"/>
        <w:snapToGrid w:val="0"/>
        <w:jc w:val="both"/>
        <w:rPr>
          <w:rFonts w:hint="default" w:ascii="Arial" w:hAnsi="Arial" w:cs="Arial"/>
          <w:sz w:val="16"/>
          <w:szCs w:val="16"/>
          <w:lang w:val="pt-BR"/>
        </w:rPr>
      </w:pPr>
      <w:r>
        <w:rPr>
          <w:rStyle w:val="18"/>
          <w:rFonts w:hint="default" w:ascii="Arial" w:hAnsi="Arial" w:cs="Arial"/>
          <w:sz w:val="16"/>
          <w:szCs w:val="16"/>
        </w:rPr>
        <w:footnoteRef/>
      </w:r>
      <w:r>
        <w:rPr>
          <w:rFonts w:hint="default" w:ascii="Arial" w:hAnsi="Arial" w:cs="Arial"/>
          <w:sz w:val="16"/>
          <w:szCs w:val="16"/>
        </w:rPr>
        <w:t xml:space="preserve"> </w:t>
      </w:r>
      <w:r>
        <w:rPr>
          <w:rFonts w:hint="default" w:ascii="Arial" w:hAnsi="Arial" w:cs="Arial"/>
          <w:sz w:val="16"/>
          <w:szCs w:val="16"/>
          <w:lang w:val="pt-BR"/>
        </w:rPr>
        <w:t>Não será admitida a subcontratação do objeto licitatório,  motivo pelo qual o(s) presente(s) item(ns) foi(ram) suprimido(s)</w:t>
      </w:r>
    </w:p>
  </w:footnote>
  <w:footnote w:id="6">
    <w:p>
      <w:pPr>
        <w:pStyle w:val="14"/>
        <w:snapToGrid w:val="0"/>
        <w:jc w:val="both"/>
        <w:rPr>
          <w:rFonts w:hint="default" w:ascii="Arial" w:hAnsi="Arial" w:cs="Arial"/>
          <w:sz w:val="16"/>
          <w:szCs w:val="16"/>
          <w:lang w:val="pt-BR"/>
        </w:rPr>
      </w:pPr>
      <w:r>
        <w:rPr>
          <w:rStyle w:val="18"/>
          <w:rFonts w:hint="default" w:ascii="Arial" w:hAnsi="Arial" w:cs="Arial"/>
          <w:sz w:val="16"/>
          <w:szCs w:val="16"/>
        </w:rPr>
        <w:footnoteRef/>
      </w:r>
      <w:r>
        <w:rPr>
          <w:rFonts w:hint="default" w:ascii="Arial" w:hAnsi="Arial" w:cs="Arial"/>
          <w:sz w:val="16"/>
          <w:szCs w:val="16"/>
        </w:rPr>
        <w:t xml:space="preserve"> </w:t>
      </w:r>
      <w:r>
        <w:rPr>
          <w:rFonts w:hint="default" w:ascii="Arial" w:hAnsi="Arial" w:cs="Arial"/>
          <w:sz w:val="16"/>
          <w:szCs w:val="16"/>
          <w:lang w:val="pt-BR"/>
        </w:rPr>
        <w:t xml:space="preserve">A </w:t>
      </w:r>
      <w:r>
        <w:rPr>
          <w:rFonts w:hint="default" w:ascii="Arial" w:hAnsi="Arial" w:cs="Arial"/>
          <w:sz w:val="16"/>
          <w:szCs w:val="16"/>
        </w:rPr>
        <w:t>certidão negativa de recuperação judicial só é exigível nos Contratos de Prestação de Serviços de Forma Continuada com Dedicação Exclusiva de Mão-de-Obra</w:t>
      </w:r>
      <w:r>
        <w:rPr>
          <w:rFonts w:hint="default" w:ascii="Arial" w:hAnsi="Arial" w:cs="Arial"/>
          <w:sz w:val="16"/>
          <w:szCs w:val="16"/>
          <w:lang w:val="pt-BR"/>
        </w:rPr>
        <w:t>, motivo pelo qual o(s) presente(s) item(ns) foi(ram) suprimido(s)</w:t>
      </w:r>
    </w:p>
  </w:footnote>
  <w:footnote w:id="7">
    <w:p>
      <w:pPr>
        <w:pStyle w:val="14"/>
        <w:snapToGrid w:val="0"/>
        <w:jc w:val="both"/>
        <w:rPr>
          <w:rFonts w:hint="default" w:ascii="Arial" w:hAnsi="Arial" w:cs="Arial"/>
          <w:sz w:val="16"/>
          <w:szCs w:val="16"/>
          <w:lang w:val="pt-BR"/>
        </w:rPr>
      </w:pPr>
      <w:r>
        <w:rPr>
          <w:rStyle w:val="18"/>
          <w:rFonts w:hint="default" w:ascii="Arial" w:hAnsi="Arial" w:cs="Arial"/>
          <w:sz w:val="16"/>
          <w:szCs w:val="16"/>
        </w:rPr>
        <w:footnoteRef/>
      </w:r>
      <w:r>
        <w:rPr>
          <w:rFonts w:hint="default" w:ascii="Arial" w:hAnsi="Arial" w:cs="Arial"/>
          <w:sz w:val="16"/>
          <w:szCs w:val="16"/>
        </w:rPr>
        <w:t xml:space="preserve"> Em havendo legislação especial incidente sobre a matéria</w:t>
      </w:r>
      <w:r>
        <w:rPr>
          <w:rFonts w:hint="default" w:ascii="Arial" w:hAnsi="Arial" w:cs="Arial"/>
          <w:sz w:val="16"/>
          <w:szCs w:val="16"/>
          <w:lang w:val="pt-BR"/>
        </w:rPr>
        <w:t>,   motivo pelo qual o(s) presente(s) item(ns) foi(ram) suprimido(s)</w:t>
      </w:r>
    </w:p>
    <w:p>
      <w:pPr>
        <w:pStyle w:val="14"/>
        <w:snapToGrid w:val="0"/>
        <w:jc w:val="both"/>
        <w:rPr>
          <w:rFonts w:hint="default" w:ascii="Arial" w:hAnsi="Arial" w:cs="Arial"/>
          <w:sz w:val="16"/>
          <w:szCs w:val="16"/>
          <w:lang w:val="pt-BR"/>
        </w:rPr>
      </w:pPr>
    </w:p>
  </w:footnote>
  <w:footnote w:id="8">
    <w:p>
      <w:pPr>
        <w:pStyle w:val="14"/>
        <w:snapToGrid w:val="0"/>
        <w:jc w:val="both"/>
        <w:rPr>
          <w:rFonts w:hint="default" w:ascii="Arial" w:hAnsi="Arial" w:cs="Arial"/>
          <w:sz w:val="16"/>
          <w:szCs w:val="16"/>
          <w:lang w:val="pt-BR"/>
        </w:rPr>
      </w:pPr>
      <w:r>
        <w:rPr>
          <w:rStyle w:val="18"/>
          <w:rFonts w:hint="default" w:ascii="Arial" w:hAnsi="Arial" w:cs="Arial"/>
          <w:sz w:val="16"/>
          <w:szCs w:val="16"/>
        </w:rPr>
        <w:footnoteRef/>
      </w:r>
      <w:r>
        <w:rPr>
          <w:rFonts w:hint="default" w:ascii="Arial" w:hAnsi="Arial" w:cs="Arial"/>
          <w:sz w:val="16"/>
          <w:szCs w:val="16"/>
        </w:rPr>
        <w:t xml:space="preserve"> </w:t>
      </w:r>
      <w:r>
        <w:rPr>
          <w:rFonts w:hint="default" w:ascii="Arial" w:hAnsi="Arial" w:cs="Arial"/>
          <w:sz w:val="16"/>
          <w:szCs w:val="16"/>
          <w:lang w:val="pt-BR"/>
        </w:rPr>
        <w:t>Não será admitida a participação de empresas reunidas em consórcio, motivo pelo qual o(s) presente(s) item(ns) foi(ram) suprimido(s)</w:t>
      </w:r>
    </w:p>
    <w:p>
      <w:pPr>
        <w:pStyle w:val="14"/>
        <w:snapToGrid w:val="0"/>
        <w:rPr>
          <w:rFonts w:hint="default"/>
          <w:lang w:val="pt-BR"/>
        </w:rPr>
      </w:pPr>
    </w:p>
  </w:footnote>
  <w:footnote w:id="9">
    <w:p>
      <w:pPr>
        <w:pStyle w:val="14"/>
        <w:snapToGrid w:val="0"/>
        <w:jc w:val="both"/>
        <w:rPr>
          <w:rFonts w:hint="default" w:ascii="Arial" w:hAnsi="Arial" w:cs="Arial"/>
          <w:sz w:val="18"/>
          <w:szCs w:val="18"/>
        </w:rPr>
      </w:pPr>
      <w:r>
        <w:rPr>
          <w:rStyle w:val="18"/>
          <w:rFonts w:hint="default" w:ascii="Arial" w:hAnsi="Arial" w:cs="Arial"/>
          <w:sz w:val="18"/>
          <w:szCs w:val="18"/>
        </w:rPr>
        <w:footnoteRef/>
      </w:r>
      <w:r>
        <w:rPr>
          <w:rFonts w:hint="default" w:ascii="Arial" w:hAnsi="Arial" w:cs="Arial"/>
          <w:sz w:val="18"/>
          <w:szCs w:val="18"/>
        </w:rPr>
        <w:t xml:space="preserve"> </w:t>
      </w:r>
      <w:r>
        <w:rPr>
          <w:rStyle w:val="17"/>
          <w:rFonts w:hint="default" w:ascii="Arial" w:hAnsi="Arial" w:eastAsia="SimSun" w:cs="Arial"/>
          <w:caps w:val="0"/>
          <w:color w:val="000000"/>
          <w:spacing w:val="0"/>
          <w:sz w:val="18"/>
          <w:szCs w:val="18"/>
          <w:shd w:val="clear" w:fill="FFFFFF"/>
        </w:rPr>
        <w:t>Item suprimido uma vez que o termo de contrato é facultativo nas contratações com valor de até R$176.000,00 (cento e setenta e seis mil reais), e nos casos de compra com entrega imediata e integral dos bens adquiridos, independentemente do valor.</w:t>
      </w:r>
    </w:p>
  </w:footnote>
  <w:footnote w:id="10">
    <w:p>
      <w:pPr>
        <w:pStyle w:val="14"/>
        <w:snapToGrid w:val="0"/>
        <w:rPr>
          <w:rFonts w:hint="default" w:ascii="Arial" w:hAnsi="Arial" w:cs="Arial"/>
          <w:sz w:val="16"/>
          <w:szCs w:val="16"/>
        </w:rPr>
      </w:pPr>
      <w:r>
        <w:rPr>
          <w:rStyle w:val="18"/>
          <w:rFonts w:hint="default" w:ascii="Arial" w:hAnsi="Arial" w:cs="Arial"/>
          <w:sz w:val="16"/>
          <w:szCs w:val="16"/>
        </w:rPr>
        <w:footnoteRef/>
      </w:r>
      <w:r>
        <w:rPr>
          <w:rFonts w:hint="default" w:ascii="Arial" w:hAnsi="Arial" w:cs="Arial"/>
          <w:sz w:val="16"/>
          <w:szCs w:val="16"/>
        </w:rPr>
        <w:t xml:space="preserve"> </w:t>
      </w:r>
      <w:r>
        <w:rPr>
          <w:rFonts w:hint="default" w:ascii="Arial" w:hAnsi="Arial" w:eastAsia="SimSun" w:cs="Arial"/>
          <w:caps w:val="0"/>
          <w:color w:val="000000"/>
          <w:spacing w:val="0"/>
          <w:sz w:val="16"/>
          <w:szCs w:val="16"/>
          <w:shd w:val="clear" w:fill="FFFFFF"/>
        </w:rPr>
        <w:t>No ca</w:t>
      </w:r>
      <w:r>
        <w:rPr>
          <w:rStyle w:val="17"/>
          <w:rFonts w:hint="default" w:ascii="Arial" w:hAnsi="Arial" w:eastAsia="SimSun" w:cs="Arial"/>
          <w:caps w:val="0"/>
          <w:color w:val="000000"/>
          <w:spacing w:val="0"/>
          <w:sz w:val="16"/>
          <w:szCs w:val="16"/>
          <w:shd w:val="clear" w:fill="FFFFFF"/>
        </w:rPr>
        <w:t>so em tela, a presente contratação não adotará às disposições quanto ao pagamento antecipado previsto no art. 1º, II da Medida Provisória nº 961, de 6 de maio de 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Carlito" w:hAnsi="Carlito" w:cs="Carlito"/>
        <w:bCs/>
        <w:sz w:val="24"/>
      </w:rPr>
    </w:pPr>
  </w:p>
  <w:p>
    <w:pPr>
      <w:jc w:val="center"/>
      <w:rPr>
        <w:rFonts w:ascii="Carlito" w:hAnsi="Carlito" w:cs="Carlito"/>
        <w:bCs/>
        <w:sz w:val="24"/>
      </w:rPr>
    </w:pPr>
  </w:p>
  <w:p>
    <w:pPr>
      <w:keepNext/>
      <w:overflowPunct w:val="0"/>
      <w:spacing w:after="0" w:line="240" w:lineRule="auto"/>
      <w:jc w:val="center"/>
      <w:rPr>
        <w:rFonts w:cs="Arial"/>
        <w:bCs/>
        <w:sz w:val="21"/>
        <w:szCs w:val="21"/>
      </w:rPr>
    </w:pPr>
  </w:p>
  <w:p>
    <w:pPr>
      <w:keepNext/>
      <w:overflowPunct w:val="0"/>
      <w:spacing w:after="0" w:line="240" w:lineRule="auto"/>
      <w:jc w:val="center"/>
      <w:rPr>
        <w:rFonts w:cs="Arial"/>
        <w:bCs/>
        <w:sz w:val="21"/>
        <w:szCs w:val="21"/>
      </w:rPr>
    </w:pPr>
  </w:p>
  <w:p>
    <w:pPr>
      <w:keepNext/>
      <w:overflowPunct w:val="0"/>
      <w:spacing w:after="0" w:line="240" w:lineRule="auto"/>
      <w:jc w:val="center"/>
      <w:rPr>
        <w:rFonts w:cs="Arial"/>
        <w:bCs/>
        <w:sz w:val="21"/>
        <w:szCs w:val="21"/>
      </w:rPr>
    </w:pPr>
  </w:p>
  <w:p>
    <w:pPr>
      <w:keepNext/>
      <w:overflowPunct w:val="0"/>
      <w:spacing w:after="0" w:line="240" w:lineRule="auto"/>
      <w:jc w:val="center"/>
      <w:rPr>
        <w:rFonts w:hint="default" w:ascii="Arial" w:hAnsi="Arial" w:cs="Arial"/>
        <w:sz w:val="21"/>
        <w:szCs w:val="21"/>
      </w:rPr>
    </w:pPr>
    <w:r>
      <w:rPr>
        <w:rFonts w:hint="default" w:ascii="Arial" w:hAnsi="Arial" w:cs="Arial"/>
        <w:sz w:val="21"/>
        <w:szCs w:val="21"/>
        <w:lang w:eastAsia="pt-BR"/>
      </w:rPr>
      <w:drawing>
        <wp:anchor distT="0" distB="35560" distL="0" distR="0" simplePos="0" relativeHeight="1024" behindDoc="1" locked="0" layoutInCell="1" allowOverlap="1">
          <wp:simplePos x="0" y="0"/>
          <wp:positionH relativeFrom="column">
            <wp:posOffset>2506345</wp:posOffset>
          </wp:positionH>
          <wp:positionV relativeFrom="paragraph">
            <wp:posOffset>-737870</wp:posOffset>
          </wp:positionV>
          <wp:extent cx="704850" cy="725170"/>
          <wp:effectExtent l="0" t="0" r="0" b="1778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a:xfrm>
                    <a:off x="0" y="0"/>
                    <a:ext cx="704850" cy="725170"/>
                  </a:xfrm>
                  <a:prstGeom prst="rect">
                    <a:avLst/>
                  </a:prstGeom>
                </pic:spPr>
              </pic:pic>
            </a:graphicData>
          </a:graphic>
        </wp:anchor>
      </w:drawing>
    </w:r>
    <w:r>
      <w:rPr>
        <w:rFonts w:hint="default" w:ascii="Arial" w:hAnsi="Arial" w:cs="Arial"/>
        <w:bCs/>
        <w:sz w:val="21"/>
        <w:szCs w:val="21"/>
      </w:rPr>
      <w:t>MINISTÉRIO DA EDUCAÇÃO</w:t>
    </w:r>
  </w:p>
  <w:p>
    <w:pPr>
      <w:keepNext/>
      <w:overflowPunct w:val="0"/>
      <w:spacing w:after="0" w:line="240" w:lineRule="auto"/>
      <w:jc w:val="center"/>
      <w:rPr>
        <w:rFonts w:hint="default" w:ascii="Arial" w:hAnsi="Arial" w:cs="Arial"/>
        <w:sz w:val="21"/>
        <w:szCs w:val="21"/>
      </w:rPr>
    </w:pPr>
    <w:r>
      <w:rPr>
        <w:rFonts w:hint="default" w:ascii="Arial" w:hAnsi="Arial" w:cs="Arial"/>
        <w:bCs/>
        <w:sz w:val="21"/>
        <w:szCs w:val="21"/>
      </w:rPr>
      <w:t>Secretaria de Educação Profissional e Tecnológica</w:t>
    </w:r>
  </w:p>
  <w:p>
    <w:pPr>
      <w:keepNext/>
      <w:overflowPunct w:val="0"/>
      <w:spacing w:after="0" w:line="240" w:lineRule="auto"/>
      <w:jc w:val="center"/>
      <w:rPr>
        <w:rFonts w:hint="default" w:ascii="Arial" w:hAnsi="Arial" w:cs="Arial"/>
        <w:sz w:val="21"/>
        <w:szCs w:val="21"/>
      </w:rPr>
    </w:pPr>
    <w:r>
      <w:rPr>
        <w:rFonts w:hint="default" w:ascii="Arial" w:hAnsi="Arial" w:cs="Arial"/>
        <w:bCs/>
        <w:sz w:val="21"/>
        <w:szCs w:val="21"/>
      </w:rPr>
      <w:t>Instituto Federal de Educação, Ciência e Tecnologia da Paraíba</w:t>
    </w:r>
  </w:p>
  <w:p>
    <w:pPr>
      <w:keepNext/>
      <w:tabs>
        <w:tab w:val="left" w:pos="4735"/>
      </w:tabs>
      <w:overflowPunct w:val="0"/>
      <w:spacing w:after="0" w:line="240" w:lineRule="auto"/>
      <w:jc w:val="center"/>
      <w:rPr>
        <w:rFonts w:hint="default" w:ascii="Arial" w:hAnsi="Arial" w:cs="Arial"/>
        <w:sz w:val="21"/>
        <w:szCs w:val="21"/>
      </w:rPr>
    </w:pPr>
    <w:r>
      <w:rPr>
        <w:rFonts w:hint="default" w:ascii="Arial" w:hAnsi="Arial" w:cs="Arial"/>
        <w:bCs/>
        <w:sz w:val="21"/>
        <w:szCs w:val="21"/>
      </w:rPr>
      <w:t>Pró-Reitoria de Administração e Finanças</w:t>
    </w:r>
  </w:p>
  <w:p>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tentative="0">
      <w:start w:val="1"/>
      <w:numFmt w:val="bullet"/>
      <w:pStyle w:val="8"/>
      <w:lvlText w:val=""/>
      <w:lvlJc w:val="left"/>
      <w:pPr>
        <w:tabs>
          <w:tab w:val="left" w:pos="1492"/>
        </w:tabs>
        <w:ind w:left="1492" w:hanging="360"/>
      </w:pPr>
      <w:rPr>
        <w:rFonts w:hint="default" w:ascii="Symbol" w:hAnsi="Symbol"/>
      </w:rPr>
    </w:lvl>
  </w:abstractNum>
  <w:abstractNum w:abstractNumId="1">
    <w:nsid w:val="17251391"/>
    <w:multiLevelType w:val="multilevel"/>
    <w:tmpl w:val="17251391"/>
    <w:lvl w:ilvl="0" w:tentative="0">
      <w:start w:val="6"/>
      <w:numFmt w:val="decimal"/>
      <w:lvlText w:val="%1"/>
      <w:lvlJc w:val="left"/>
      <w:pPr>
        <w:ind w:left="360" w:hanging="360"/>
      </w:pPr>
      <w:rPr>
        <w:rFonts w:hint="default"/>
      </w:rPr>
    </w:lvl>
    <w:lvl w:ilvl="1" w:tentative="0">
      <w:start w:val="10"/>
      <w:numFmt w:val="decimal"/>
      <w:lvlText w:val="%1.%2"/>
      <w:lvlJc w:val="left"/>
      <w:pPr>
        <w:ind w:left="785" w:hanging="360"/>
      </w:pPr>
      <w:rPr>
        <w:rFonts w:hint="default"/>
      </w:rPr>
    </w:lvl>
    <w:lvl w:ilvl="2" w:tentative="0">
      <w:start w:val="1"/>
      <w:numFmt w:val="decimal"/>
      <w:lvlText w:val="%1.%2.%3"/>
      <w:lvlJc w:val="left"/>
      <w:pPr>
        <w:ind w:left="1712" w:hanging="720"/>
      </w:pPr>
      <w:rPr>
        <w:rFonts w:hint="default"/>
      </w:rPr>
    </w:lvl>
    <w:lvl w:ilvl="3" w:tentative="0">
      <w:start w:val="1"/>
      <w:numFmt w:val="decimal"/>
      <w:lvlText w:val="%1.%2.%3.%4"/>
      <w:lvlJc w:val="left"/>
      <w:pPr>
        <w:ind w:left="2208" w:hanging="720"/>
      </w:pPr>
      <w:rPr>
        <w:rFonts w:hint="default"/>
      </w:rPr>
    </w:lvl>
    <w:lvl w:ilvl="4" w:tentative="0">
      <w:start w:val="1"/>
      <w:numFmt w:val="decimal"/>
      <w:lvlText w:val="%1.%2.%3.%4.%5"/>
      <w:lvlJc w:val="left"/>
      <w:pPr>
        <w:ind w:left="3064" w:hanging="1080"/>
      </w:pPr>
      <w:rPr>
        <w:rFonts w:hint="default"/>
      </w:rPr>
    </w:lvl>
    <w:lvl w:ilvl="5" w:tentative="0">
      <w:start w:val="1"/>
      <w:numFmt w:val="decimal"/>
      <w:lvlText w:val="%1.%2.%3.%4.%5.%6"/>
      <w:lvlJc w:val="left"/>
      <w:pPr>
        <w:ind w:left="3560" w:hanging="1080"/>
      </w:pPr>
      <w:rPr>
        <w:rFonts w:hint="default"/>
      </w:rPr>
    </w:lvl>
    <w:lvl w:ilvl="6" w:tentative="0">
      <w:start w:val="1"/>
      <w:numFmt w:val="decimal"/>
      <w:lvlText w:val="%1.%2.%3.%4.%5.%6.%7"/>
      <w:lvlJc w:val="left"/>
      <w:pPr>
        <w:ind w:left="4416" w:hanging="1440"/>
      </w:pPr>
      <w:rPr>
        <w:rFonts w:hint="default"/>
      </w:rPr>
    </w:lvl>
    <w:lvl w:ilvl="7" w:tentative="0">
      <w:start w:val="1"/>
      <w:numFmt w:val="decimal"/>
      <w:lvlText w:val="%1.%2.%3.%4.%5.%6.%7.%8"/>
      <w:lvlJc w:val="left"/>
      <w:pPr>
        <w:ind w:left="4912" w:hanging="1440"/>
      </w:pPr>
      <w:rPr>
        <w:rFonts w:hint="default"/>
      </w:rPr>
    </w:lvl>
    <w:lvl w:ilvl="8" w:tentative="0">
      <w:start w:val="1"/>
      <w:numFmt w:val="decimal"/>
      <w:lvlText w:val="%1.%2.%3.%4.%5.%6.%7.%8.%9"/>
      <w:lvlJc w:val="left"/>
      <w:pPr>
        <w:ind w:left="5768" w:hanging="1800"/>
      </w:pPr>
      <w:rPr>
        <w:rFonts w:hint="default"/>
      </w:rPr>
    </w:lvl>
  </w:abstractNum>
  <w:abstractNum w:abstractNumId="2">
    <w:nsid w:val="1D5C100D"/>
    <w:multiLevelType w:val="multilevel"/>
    <w:tmpl w:val="1D5C100D"/>
    <w:lvl w:ilvl="0" w:tentative="0">
      <w:start w:val="1"/>
      <w:numFmt w:val="decimal"/>
      <w:pStyle w:val="37"/>
      <w:lvlText w:val="%1."/>
      <w:lvlJc w:val="left"/>
      <w:pPr>
        <w:ind w:left="360" w:hanging="360"/>
      </w:pPr>
      <w:rPr>
        <w:rFonts w:hint="default"/>
        <w:b/>
      </w:rPr>
    </w:lvl>
    <w:lvl w:ilvl="1" w:tentative="0">
      <w:start w:val="1"/>
      <w:numFmt w:val="decimal"/>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3">
    <w:nsid w:val="346250F7"/>
    <w:multiLevelType w:val="multilevel"/>
    <w:tmpl w:val="346250F7"/>
    <w:lvl w:ilvl="0" w:tentative="0">
      <w:start w:val="6"/>
      <w:numFmt w:val="decimal"/>
      <w:lvlText w:val="%1"/>
      <w:lvlJc w:val="left"/>
      <w:pPr>
        <w:ind w:left="360" w:hanging="360"/>
      </w:pPr>
      <w:rPr>
        <w:rFonts w:hint="default"/>
      </w:rPr>
    </w:lvl>
    <w:lvl w:ilvl="1" w:tentative="0">
      <w:start w:val="1"/>
      <w:numFmt w:val="decimal"/>
      <w:lvlText w:val="%1.%2"/>
      <w:lvlJc w:val="left"/>
      <w:pPr>
        <w:ind w:left="785" w:hanging="360"/>
      </w:pPr>
      <w:rPr>
        <w:rFonts w:hint="default"/>
      </w:rPr>
    </w:lvl>
    <w:lvl w:ilvl="2" w:tentative="0">
      <w:start w:val="1"/>
      <w:numFmt w:val="decimal"/>
      <w:lvlText w:val="%1.%2.%3"/>
      <w:lvlJc w:val="left"/>
      <w:pPr>
        <w:ind w:left="1712" w:hanging="720"/>
      </w:pPr>
      <w:rPr>
        <w:rFonts w:hint="default"/>
      </w:rPr>
    </w:lvl>
    <w:lvl w:ilvl="3" w:tentative="0">
      <w:start w:val="1"/>
      <w:numFmt w:val="decimal"/>
      <w:lvlText w:val="%1.%2.%3.%4"/>
      <w:lvlJc w:val="left"/>
      <w:pPr>
        <w:ind w:left="2208" w:hanging="720"/>
      </w:pPr>
      <w:rPr>
        <w:rFonts w:hint="default"/>
      </w:rPr>
    </w:lvl>
    <w:lvl w:ilvl="4" w:tentative="0">
      <w:start w:val="1"/>
      <w:numFmt w:val="decimal"/>
      <w:lvlText w:val="%1.%2.%3.%4.%5"/>
      <w:lvlJc w:val="left"/>
      <w:pPr>
        <w:ind w:left="3064" w:hanging="1080"/>
      </w:pPr>
      <w:rPr>
        <w:rFonts w:hint="default"/>
      </w:rPr>
    </w:lvl>
    <w:lvl w:ilvl="5" w:tentative="0">
      <w:start w:val="1"/>
      <w:numFmt w:val="decimal"/>
      <w:lvlText w:val="%1.%2.%3.%4.%5.%6"/>
      <w:lvlJc w:val="left"/>
      <w:pPr>
        <w:ind w:left="3560" w:hanging="1080"/>
      </w:pPr>
      <w:rPr>
        <w:rFonts w:hint="default"/>
      </w:rPr>
    </w:lvl>
    <w:lvl w:ilvl="6" w:tentative="0">
      <w:start w:val="1"/>
      <w:numFmt w:val="decimal"/>
      <w:lvlText w:val="%1.%2.%3.%4.%5.%6.%7"/>
      <w:lvlJc w:val="left"/>
      <w:pPr>
        <w:ind w:left="4416" w:hanging="1440"/>
      </w:pPr>
      <w:rPr>
        <w:rFonts w:hint="default"/>
      </w:rPr>
    </w:lvl>
    <w:lvl w:ilvl="7" w:tentative="0">
      <w:start w:val="1"/>
      <w:numFmt w:val="decimal"/>
      <w:lvlText w:val="%1.%2.%3.%4.%5.%6.%7.%8"/>
      <w:lvlJc w:val="left"/>
      <w:pPr>
        <w:ind w:left="4912" w:hanging="1440"/>
      </w:pPr>
      <w:rPr>
        <w:rFonts w:hint="default"/>
      </w:rPr>
    </w:lvl>
    <w:lvl w:ilvl="8" w:tentative="0">
      <w:start w:val="1"/>
      <w:numFmt w:val="decimal"/>
      <w:lvlText w:val="%1.%2.%3.%4.%5.%6.%7.%8.%9"/>
      <w:lvlJc w:val="left"/>
      <w:pPr>
        <w:ind w:left="5768" w:hanging="1800"/>
      </w:pPr>
      <w:rPr>
        <w:rFonts w:hint="default"/>
      </w:rPr>
    </w:lvl>
  </w:abstractNum>
  <w:abstractNum w:abstractNumId="4">
    <w:nsid w:val="58C70088"/>
    <w:multiLevelType w:val="multilevel"/>
    <w:tmpl w:val="58C70088"/>
    <w:lvl w:ilvl="0" w:tentative="0">
      <w:start w:val="1"/>
      <w:numFmt w:val="decimal"/>
      <w:pStyle w:val="55"/>
      <w:lvlText w:val="%1."/>
      <w:lvlJc w:val="left"/>
      <w:pPr>
        <w:ind w:left="502" w:hanging="360"/>
      </w:pPr>
      <w:rPr>
        <w:b/>
        <w:i w:val="0"/>
        <w:strike w:val="0"/>
        <w:dstrike w:val="0"/>
      </w:rPr>
    </w:lvl>
    <w:lvl w:ilvl="1" w:tentative="0">
      <w:start w:val="1"/>
      <w:numFmt w:val="decimal"/>
      <w:pStyle w:val="54"/>
      <w:lvlText w:val="%1.%2."/>
      <w:lvlJc w:val="left"/>
      <w:pPr>
        <w:ind w:left="858" w:hanging="432"/>
      </w:pPr>
      <w:rPr>
        <w:b w:val="0"/>
        <w:strike w:val="0"/>
      </w:rPr>
    </w:lvl>
    <w:lvl w:ilvl="2" w:tentative="0">
      <w:start w:val="1"/>
      <w:numFmt w:val="decimal"/>
      <w:pStyle w:val="56"/>
      <w:lvlText w:val="%1.%2.%3."/>
      <w:lvlJc w:val="left"/>
      <w:pPr>
        <w:ind w:left="1224" w:hanging="504"/>
      </w:pPr>
      <w:rPr>
        <w:i w:val="0"/>
        <w:strike w:val="0"/>
      </w:rPr>
    </w:lvl>
    <w:lvl w:ilvl="3" w:tentative="0">
      <w:start w:val="1"/>
      <w:numFmt w:val="decimal"/>
      <w:pStyle w:val="57"/>
      <w:lvlText w:val="%1.%2.%3.%4."/>
      <w:lvlJc w:val="left"/>
      <w:pPr>
        <w:ind w:left="1728" w:hanging="648"/>
      </w:pPr>
    </w:lvl>
    <w:lvl w:ilvl="4" w:tentative="0">
      <w:start w:val="1"/>
      <w:numFmt w:val="decimal"/>
      <w:pStyle w:val="58"/>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5">
    <w:nsid w:val="79D3778B"/>
    <w:multiLevelType w:val="multilevel"/>
    <w:tmpl w:val="79D3778B"/>
    <w:lvl w:ilvl="0" w:tentative="0">
      <w:start w:val="13"/>
      <w:numFmt w:val="decimal"/>
      <w:lvlText w:val="%1"/>
      <w:lvlJc w:val="left"/>
      <w:pPr>
        <w:ind w:left="360" w:hanging="360"/>
      </w:pPr>
      <w:rPr>
        <w:rFonts w:hint="default"/>
      </w:rPr>
    </w:lvl>
    <w:lvl w:ilvl="1" w:tentative="0">
      <w:start w:val="1"/>
      <w:numFmt w:val="decimal"/>
      <w:lvlText w:val="%1.%2"/>
      <w:lvlJc w:val="left"/>
      <w:pPr>
        <w:ind w:left="785" w:hanging="360"/>
      </w:pPr>
      <w:rPr>
        <w:rFonts w:hint="default"/>
        <w:b w:val="0"/>
      </w:rPr>
    </w:lvl>
    <w:lvl w:ilvl="2" w:tentative="0">
      <w:start w:val="1"/>
      <w:numFmt w:val="decimal"/>
      <w:lvlText w:val="%1.%2.%3"/>
      <w:lvlJc w:val="left"/>
      <w:pPr>
        <w:ind w:left="1854" w:hanging="720"/>
      </w:pPr>
      <w:rPr>
        <w:rFonts w:hint="default"/>
      </w:rPr>
    </w:lvl>
    <w:lvl w:ilvl="3" w:tentative="0">
      <w:start w:val="1"/>
      <w:numFmt w:val="decimal"/>
      <w:lvlText w:val="%1.%2.%3.%4"/>
      <w:lvlJc w:val="left"/>
      <w:pPr>
        <w:ind w:left="2421" w:hanging="720"/>
      </w:pPr>
      <w:rPr>
        <w:rFonts w:hint="default"/>
      </w:rPr>
    </w:lvl>
    <w:lvl w:ilvl="4" w:tentative="0">
      <w:start w:val="1"/>
      <w:numFmt w:val="decimal"/>
      <w:lvlText w:val="%1.%2.%3.%4.%5"/>
      <w:lvlJc w:val="left"/>
      <w:pPr>
        <w:ind w:left="3348" w:hanging="1080"/>
      </w:pPr>
      <w:rPr>
        <w:rFonts w:hint="default"/>
      </w:rPr>
    </w:lvl>
    <w:lvl w:ilvl="5" w:tentative="0">
      <w:start w:val="1"/>
      <w:numFmt w:val="decimal"/>
      <w:lvlText w:val="%1.%2.%3.%4.%5.%6"/>
      <w:lvlJc w:val="left"/>
      <w:pPr>
        <w:ind w:left="3915" w:hanging="1080"/>
      </w:pPr>
      <w:rPr>
        <w:rFonts w:hint="default"/>
      </w:rPr>
    </w:lvl>
    <w:lvl w:ilvl="6" w:tentative="0">
      <w:start w:val="1"/>
      <w:numFmt w:val="decimal"/>
      <w:lvlText w:val="%1.%2.%3.%4.%5.%6.%7"/>
      <w:lvlJc w:val="left"/>
      <w:pPr>
        <w:ind w:left="4842" w:hanging="1440"/>
      </w:pPr>
      <w:rPr>
        <w:rFonts w:hint="default"/>
      </w:rPr>
    </w:lvl>
    <w:lvl w:ilvl="7" w:tentative="0">
      <w:start w:val="1"/>
      <w:numFmt w:val="decimal"/>
      <w:lvlText w:val="%1.%2.%3.%4.%5.%6.%7.%8"/>
      <w:lvlJc w:val="left"/>
      <w:pPr>
        <w:ind w:left="5409" w:hanging="1440"/>
      </w:pPr>
      <w:rPr>
        <w:rFonts w:hint="default"/>
      </w:rPr>
    </w:lvl>
    <w:lvl w:ilvl="8" w:tentative="0">
      <w:start w:val="1"/>
      <w:numFmt w:val="decimal"/>
      <w:lvlText w:val="%1.%2.%3.%4.%5.%6.%7.%8.%9"/>
      <w:lvlJc w:val="left"/>
      <w:pPr>
        <w:ind w:left="6336" w:hanging="1800"/>
      </w:pPr>
      <w:rPr>
        <w:rFonts w:hint="default"/>
      </w:rPr>
    </w:lvl>
  </w:abstractNum>
  <w:num w:numId="1">
    <w:abstractNumId w:val="0"/>
  </w:num>
  <w:num w:numId="2">
    <w:abstractNumId w:val="2"/>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bordersDoNotSurroundHeader w:val="0"/>
  <w:bordersDoNotSurroundFooter w:val="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708"/>
  <w:hyphenationZone w:val="425"/>
  <w:displayHorizontalDrawingGridEvery w:val="1"/>
  <w:displayVerticalDrawingGridEvery w:val="1"/>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E05"/>
    <w:rsid w:val="0000236D"/>
    <w:rsid w:val="00003298"/>
    <w:rsid w:val="000066C8"/>
    <w:rsid w:val="00007043"/>
    <w:rsid w:val="00011390"/>
    <w:rsid w:val="000122C1"/>
    <w:rsid w:val="00012A11"/>
    <w:rsid w:val="00014236"/>
    <w:rsid w:val="00014E7A"/>
    <w:rsid w:val="00014FC0"/>
    <w:rsid w:val="00015D4B"/>
    <w:rsid w:val="0002260C"/>
    <w:rsid w:val="0002306D"/>
    <w:rsid w:val="00023CDD"/>
    <w:rsid w:val="000242C8"/>
    <w:rsid w:val="00027155"/>
    <w:rsid w:val="00027933"/>
    <w:rsid w:val="00027A5D"/>
    <w:rsid w:val="000318BA"/>
    <w:rsid w:val="000321F5"/>
    <w:rsid w:val="000335F5"/>
    <w:rsid w:val="00034A29"/>
    <w:rsid w:val="00035D80"/>
    <w:rsid w:val="00037C97"/>
    <w:rsid w:val="00040957"/>
    <w:rsid w:val="00040D0F"/>
    <w:rsid w:val="00042714"/>
    <w:rsid w:val="00044CF4"/>
    <w:rsid w:val="000452C7"/>
    <w:rsid w:val="0004586D"/>
    <w:rsid w:val="00047D73"/>
    <w:rsid w:val="00050712"/>
    <w:rsid w:val="00050EA0"/>
    <w:rsid w:val="000518EF"/>
    <w:rsid w:val="000526DD"/>
    <w:rsid w:val="00053E65"/>
    <w:rsid w:val="00055F99"/>
    <w:rsid w:val="00056433"/>
    <w:rsid w:val="00060256"/>
    <w:rsid w:val="00060414"/>
    <w:rsid w:val="0006060E"/>
    <w:rsid w:val="00061553"/>
    <w:rsid w:val="00061DA5"/>
    <w:rsid w:val="0006239C"/>
    <w:rsid w:val="00062853"/>
    <w:rsid w:val="000633EF"/>
    <w:rsid w:val="0006419C"/>
    <w:rsid w:val="0006504E"/>
    <w:rsid w:val="0006537A"/>
    <w:rsid w:val="000670EC"/>
    <w:rsid w:val="000677A2"/>
    <w:rsid w:val="000709FF"/>
    <w:rsid w:val="00070EA5"/>
    <w:rsid w:val="00070FD8"/>
    <w:rsid w:val="00073E63"/>
    <w:rsid w:val="00076CBC"/>
    <w:rsid w:val="0007709E"/>
    <w:rsid w:val="000779C7"/>
    <w:rsid w:val="00080B53"/>
    <w:rsid w:val="00081098"/>
    <w:rsid w:val="0008276E"/>
    <w:rsid w:val="00082DC7"/>
    <w:rsid w:val="00086D55"/>
    <w:rsid w:val="000872C8"/>
    <w:rsid w:val="00087EF2"/>
    <w:rsid w:val="000902AA"/>
    <w:rsid w:val="00090425"/>
    <w:rsid w:val="00090F5D"/>
    <w:rsid w:val="00091897"/>
    <w:rsid w:val="00092759"/>
    <w:rsid w:val="00094321"/>
    <w:rsid w:val="00094A8E"/>
    <w:rsid w:val="000A102A"/>
    <w:rsid w:val="000A179E"/>
    <w:rsid w:val="000A1A7B"/>
    <w:rsid w:val="000A1B88"/>
    <w:rsid w:val="000A1EAC"/>
    <w:rsid w:val="000A23DA"/>
    <w:rsid w:val="000A498A"/>
    <w:rsid w:val="000A50B2"/>
    <w:rsid w:val="000A512E"/>
    <w:rsid w:val="000A674F"/>
    <w:rsid w:val="000B1626"/>
    <w:rsid w:val="000B1C01"/>
    <w:rsid w:val="000B226F"/>
    <w:rsid w:val="000B283A"/>
    <w:rsid w:val="000B34D8"/>
    <w:rsid w:val="000B7B55"/>
    <w:rsid w:val="000C052F"/>
    <w:rsid w:val="000C123B"/>
    <w:rsid w:val="000C20BD"/>
    <w:rsid w:val="000C21AD"/>
    <w:rsid w:val="000C2C16"/>
    <w:rsid w:val="000C32BF"/>
    <w:rsid w:val="000C380A"/>
    <w:rsid w:val="000C3E5F"/>
    <w:rsid w:val="000C670A"/>
    <w:rsid w:val="000D239E"/>
    <w:rsid w:val="000D2A6B"/>
    <w:rsid w:val="000D2AC3"/>
    <w:rsid w:val="000D4159"/>
    <w:rsid w:val="000D5774"/>
    <w:rsid w:val="000E4C1B"/>
    <w:rsid w:val="000E610F"/>
    <w:rsid w:val="000E7EB8"/>
    <w:rsid w:val="000F0A2E"/>
    <w:rsid w:val="000F0FCF"/>
    <w:rsid w:val="000F113C"/>
    <w:rsid w:val="000F1290"/>
    <w:rsid w:val="000F1C1C"/>
    <w:rsid w:val="000F2B66"/>
    <w:rsid w:val="000F2D6D"/>
    <w:rsid w:val="000F4088"/>
    <w:rsid w:val="000F4F96"/>
    <w:rsid w:val="000F5A07"/>
    <w:rsid w:val="0010044D"/>
    <w:rsid w:val="00100990"/>
    <w:rsid w:val="00100BD1"/>
    <w:rsid w:val="00100E2B"/>
    <w:rsid w:val="001011D5"/>
    <w:rsid w:val="00103461"/>
    <w:rsid w:val="00105707"/>
    <w:rsid w:val="00106B39"/>
    <w:rsid w:val="00110305"/>
    <w:rsid w:val="001103FF"/>
    <w:rsid w:val="00112A6A"/>
    <w:rsid w:val="00112ABD"/>
    <w:rsid w:val="00113EEB"/>
    <w:rsid w:val="00114C63"/>
    <w:rsid w:val="00115429"/>
    <w:rsid w:val="0011575E"/>
    <w:rsid w:val="00120DAD"/>
    <w:rsid w:val="001219B0"/>
    <w:rsid w:val="00121E12"/>
    <w:rsid w:val="00122C50"/>
    <w:rsid w:val="00124736"/>
    <w:rsid w:val="00124990"/>
    <w:rsid w:val="00124FB7"/>
    <w:rsid w:val="001304C0"/>
    <w:rsid w:val="001305EC"/>
    <w:rsid w:val="001315F2"/>
    <w:rsid w:val="00132231"/>
    <w:rsid w:val="00133148"/>
    <w:rsid w:val="001342C0"/>
    <w:rsid w:val="00134FE4"/>
    <w:rsid w:val="00135CCD"/>
    <w:rsid w:val="0014004B"/>
    <w:rsid w:val="00140A41"/>
    <w:rsid w:val="0014325E"/>
    <w:rsid w:val="00143845"/>
    <w:rsid w:val="00146BDF"/>
    <w:rsid w:val="001516EA"/>
    <w:rsid w:val="0015172D"/>
    <w:rsid w:val="00153E25"/>
    <w:rsid w:val="00154505"/>
    <w:rsid w:val="00154B86"/>
    <w:rsid w:val="00154BF4"/>
    <w:rsid w:val="001562A8"/>
    <w:rsid w:val="00156349"/>
    <w:rsid w:val="0015684D"/>
    <w:rsid w:val="00157D8E"/>
    <w:rsid w:val="00160549"/>
    <w:rsid w:val="00160BBD"/>
    <w:rsid w:val="00160DA4"/>
    <w:rsid w:val="0016418C"/>
    <w:rsid w:val="001648FB"/>
    <w:rsid w:val="00164CC3"/>
    <w:rsid w:val="0016584A"/>
    <w:rsid w:val="00170CE1"/>
    <w:rsid w:val="00170D49"/>
    <w:rsid w:val="00172A0F"/>
    <w:rsid w:val="00174CAA"/>
    <w:rsid w:val="00174D48"/>
    <w:rsid w:val="001777C6"/>
    <w:rsid w:val="00177CD5"/>
    <w:rsid w:val="001817D2"/>
    <w:rsid w:val="00181F1C"/>
    <w:rsid w:val="00184086"/>
    <w:rsid w:val="001842A6"/>
    <w:rsid w:val="00184E7C"/>
    <w:rsid w:val="00185F3B"/>
    <w:rsid w:val="0018613B"/>
    <w:rsid w:val="001904A8"/>
    <w:rsid w:val="00191140"/>
    <w:rsid w:val="00194866"/>
    <w:rsid w:val="00194A14"/>
    <w:rsid w:val="00194F7C"/>
    <w:rsid w:val="001954FC"/>
    <w:rsid w:val="001959DA"/>
    <w:rsid w:val="001A0186"/>
    <w:rsid w:val="001A0528"/>
    <w:rsid w:val="001A13FA"/>
    <w:rsid w:val="001A1732"/>
    <w:rsid w:val="001A2CE9"/>
    <w:rsid w:val="001A3A05"/>
    <w:rsid w:val="001A3ADF"/>
    <w:rsid w:val="001A3E18"/>
    <w:rsid w:val="001B005B"/>
    <w:rsid w:val="001B1976"/>
    <w:rsid w:val="001B2538"/>
    <w:rsid w:val="001B3448"/>
    <w:rsid w:val="001B6423"/>
    <w:rsid w:val="001C11C5"/>
    <w:rsid w:val="001C2C97"/>
    <w:rsid w:val="001C2E71"/>
    <w:rsid w:val="001C3F32"/>
    <w:rsid w:val="001C48B6"/>
    <w:rsid w:val="001C4C04"/>
    <w:rsid w:val="001C52E2"/>
    <w:rsid w:val="001C5FEE"/>
    <w:rsid w:val="001C694F"/>
    <w:rsid w:val="001C721E"/>
    <w:rsid w:val="001D28CC"/>
    <w:rsid w:val="001D2907"/>
    <w:rsid w:val="001D3305"/>
    <w:rsid w:val="001D3368"/>
    <w:rsid w:val="001D3BA3"/>
    <w:rsid w:val="001D4665"/>
    <w:rsid w:val="001D6EE5"/>
    <w:rsid w:val="001E093F"/>
    <w:rsid w:val="001E1D6B"/>
    <w:rsid w:val="001E2495"/>
    <w:rsid w:val="001E2E97"/>
    <w:rsid w:val="001E3AAF"/>
    <w:rsid w:val="001E40D3"/>
    <w:rsid w:val="001E60BA"/>
    <w:rsid w:val="001F0A6E"/>
    <w:rsid w:val="001F0E4E"/>
    <w:rsid w:val="001F39FA"/>
    <w:rsid w:val="001F4C3C"/>
    <w:rsid w:val="001F66DD"/>
    <w:rsid w:val="0020019F"/>
    <w:rsid w:val="00200A4B"/>
    <w:rsid w:val="00201F24"/>
    <w:rsid w:val="00202A04"/>
    <w:rsid w:val="00202BFE"/>
    <w:rsid w:val="00205034"/>
    <w:rsid w:val="00205197"/>
    <w:rsid w:val="0020593D"/>
    <w:rsid w:val="00205B37"/>
    <w:rsid w:val="00205F6E"/>
    <w:rsid w:val="00206118"/>
    <w:rsid w:val="00207B98"/>
    <w:rsid w:val="00210001"/>
    <w:rsid w:val="0021106D"/>
    <w:rsid w:val="00213E2F"/>
    <w:rsid w:val="00220D79"/>
    <w:rsid w:val="00220FFE"/>
    <w:rsid w:val="00221BA5"/>
    <w:rsid w:val="00222980"/>
    <w:rsid w:val="0022343D"/>
    <w:rsid w:val="002241A2"/>
    <w:rsid w:val="002267BC"/>
    <w:rsid w:val="00227861"/>
    <w:rsid w:val="00230C82"/>
    <w:rsid w:val="00231E9C"/>
    <w:rsid w:val="002322DE"/>
    <w:rsid w:val="00235187"/>
    <w:rsid w:val="00240B17"/>
    <w:rsid w:val="00241680"/>
    <w:rsid w:val="00241D78"/>
    <w:rsid w:val="00246DAE"/>
    <w:rsid w:val="00252859"/>
    <w:rsid w:val="00253319"/>
    <w:rsid w:val="002538B4"/>
    <w:rsid w:val="002538E3"/>
    <w:rsid w:val="00253C18"/>
    <w:rsid w:val="00253EDB"/>
    <w:rsid w:val="0025592E"/>
    <w:rsid w:val="00255C24"/>
    <w:rsid w:val="00257DB8"/>
    <w:rsid w:val="00260802"/>
    <w:rsid w:val="002609ED"/>
    <w:rsid w:val="00261723"/>
    <w:rsid w:val="00261925"/>
    <w:rsid w:val="0026386A"/>
    <w:rsid w:val="002656A2"/>
    <w:rsid w:val="00265B35"/>
    <w:rsid w:val="00267125"/>
    <w:rsid w:val="00267B22"/>
    <w:rsid w:val="00271CB6"/>
    <w:rsid w:val="0027248A"/>
    <w:rsid w:val="0027301A"/>
    <w:rsid w:val="0027381F"/>
    <w:rsid w:val="002746FE"/>
    <w:rsid w:val="00276ECC"/>
    <w:rsid w:val="00280FA2"/>
    <w:rsid w:val="00283A12"/>
    <w:rsid w:val="00283D51"/>
    <w:rsid w:val="00285733"/>
    <w:rsid w:val="0028679E"/>
    <w:rsid w:val="0028765E"/>
    <w:rsid w:val="00287D22"/>
    <w:rsid w:val="0029037D"/>
    <w:rsid w:val="002923A3"/>
    <w:rsid w:val="002927E7"/>
    <w:rsid w:val="002937D4"/>
    <w:rsid w:val="00293D30"/>
    <w:rsid w:val="002961D6"/>
    <w:rsid w:val="0029643B"/>
    <w:rsid w:val="002A0D02"/>
    <w:rsid w:val="002A127F"/>
    <w:rsid w:val="002A19C7"/>
    <w:rsid w:val="002A2822"/>
    <w:rsid w:val="002A4265"/>
    <w:rsid w:val="002A51E3"/>
    <w:rsid w:val="002B0A65"/>
    <w:rsid w:val="002B0CF8"/>
    <w:rsid w:val="002B2A87"/>
    <w:rsid w:val="002B2E88"/>
    <w:rsid w:val="002B2EE9"/>
    <w:rsid w:val="002B3ACD"/>
    <w:rsid w:val="002B7727"/>
    <w:rsid w:val="002B7EB0"/>
    <w:rsid w:val="002C1258"/>
    <w:rsid w:val="002C3329"/>
    <w:rsid w:val="002C4E86"/>
    <w:rsid w:val="002C54C1"/>
    <w:rsid w:val="002C72B3"/>
    <w:rsid w:val="002D07BF"/>
    <w:rsid w:val="002D14AB"/>
    <w:rsid w:val="002D5122"/>
    <w:rsid w:val="002D5CA9"/>
    <w:rsid w:val="002D6984"/>
    <w:rsid w:val="002D6BF6"/>
    <w:rsid w:val="002D78B4"/>
    <w:rsid w:val="002D7C8E"/>
    <w:rsid w:val="002E15A7"/>
    <w:rsid w:val="002E160F"/>
    <w:rsid w:val="002E276E"/>
    <w:rsid w:val="002E2B74"/>
    <w:rsid w:val="002E2C34"/>
    <w:rsid w:val="002E3F91"/>
    <w:rsid w:val="002E480D"/>
    <w:rsid w:val="002E5386"/>
    <w:rsid w:val="002E5F6B"/>
    <w:rsid w:val="002E6499"/>
    <w:rsid w:val="002E649F"/>
    <w:rsid w:val="002F084D"/>
    <w:rsid w:val="002F308B"/>
    <w:rsid w:val="002F3A33"/>
    <w:rsid w:val="002F6672"/>
    <w:rsid w:val="00303DF2"/>
    <w:rsid w:val="003051D8"/>
    <w:rsid w:val="00307DBE"/>
    <w:rsid w:val="003105D9"/>
    <w:rsid w:val="00310B4A"/>
    <w:rsid w:val="00313B45"/>
    <w:rsid w:val="00313E32"/>
    <w:rsid w:val="00320345"/>
    <w:rsid w:val="00322A3E"/>
    <w:rsid w:val="003238C3"/>
    <w:rsid w:val="00324BCD"/>
    <w:rsid w:val="00324F30"/>
    <w:rsid w:val="00325023"/>
    <w:rsid w:val="00325FD8"/>
    <w:rsid w:val="003265B9"/>
    <w:rsid w:val="003265FC"/>
    <w:rsid w:val="00327232"/>
    <w:rsid w:val="0033103B"/>
    <w:rsid w:val="00331182"/>
    <w:rsid w:val="00332AB2"/>
    <w:rsid w:val="003343F8"/>
    <w:rsid w:val="0033777C"/>
    <w:rsid w:val="0033795C"/>
    <w:rsid w:val="0034018E"/>
    <w:rsid w:val="00340192"/>
    <w:rsid w:val="00340EE0"/>
    <w:rsid w:val="003412B1"/>
    <w:rsid w:val="003415B6"/>
    <w:rsid w:val="00341B71"/>
    <w:rsid w:val="00342CB9"/>
    <w:rsid w:val="00343032"/>
    <w:rsid w:val="00343A5B"/>
    <w:rsid w:val="00343C3E"/>
    <w:rsid w:val="00343FE5"/>
    <w:rsid w:val="00345AA4"/>
    <w:rsid w:val="0034712C"/>
    <w:rsid w:val="00347598"/>
    <w:rsid w:val="00352541"/>
    <w:rsid w:val="0035658A"/>
    <w:rsid w:val="00360444"/>
    <w:rsid w:val="0036051A"/>
    <w:rsid w:val="00362847"/>
    <w:rsid w:val="003629E4"/>
    <w:rsid w:val="00364141"/>
    <w:rsid w:val="003648BA"/>
    <w:rsid w:val="003671ED"/>
    <w:rsid w:val="00367EF6"/>
    <w:rsid w:val="00370FE8"/>
    <w:rsid w:val="00371E7E"/>
    <w:rsid w:val="00373F2A"/>
    <w:rsid w:val="003751AD"/>
    <w:rsid w:val="00376A71"/>
    <w:rsid w:val="003779A2"/>
    <w:rsid w:val="003800AF"/>
    <w:rsid w:val="0038139C"/>
    <w:rsid w:val="00381E84"/>
    <w:rsid w:val="0038245E"/>
    <w:rsid w:val="00382798"/>
    <w:rsid w:val="00383CAA"/>
    <w:rsid w:val="003842E9"/>
    <w:rsid w:val="00384DBB"/>
    <w:rsid w:val="00386157"/>
    <w:rsid w:val="00386ADE"/>
    <w:rsid w:val="00386C8D"/>
    <w:rsid w:val="003911FA"/>
    <w:rsid w:val="00391E14"/>
    <w:rsid w:val="003959F6"/>
    <w:rsid w:val="003963D1"/>
    <w:rsid w:val="003A2584"/>
    <w:rsid w:val="003A5367"/>
    <w:rsid w:val="003A54A7"/>
    <w:rsid w:val="003A71A0"/>
    <w:rsid w:val="003A73C1"/>
    <w:rsid w:val="003A79B2"/>
    <w:rsid w:val="003B2B65"/>
    <w:rsid w:val="003B3F08"/>
    <w:rsid w:val="003B47AE"/>
    <w:rsid w:val="003B791E"/>
    <w:rsid w:val="003C502C"/>
    <w:rsid w:val="003C609E"/>
    <w:rsid w:val="003C6275"/>
    <w:rsid w:val="003C6CE4"/>
    <w:rsid w:val="003D1078"/>
    <w:rsid w:val="003D129F"/>
    <w:rsid w:val="003D4284"/>
    <w:rsid w:val="003D4382"/>
    <w:rsid w:val="003D584E"/>
    <w:rsid w:val="003D6109"/>
    <w:rsid w:val="003D6C15"/>
    <w:rsid w:val="003E4181"/>
    <w:rsid w:val="003E4927"/>
    <w:rsid w:val="003E4D76"/>
    <w:rsid w:val="003E55B1"/>
    <w:rsid w:val="003E74B0"/>
    <w:rsid w:val="003E7DE1"/>
    <w:rsid w:val="003F004A"/>
    <w:rsid w:val="003F092F"/>
    <w:rsid w:val="003F1437"/>
    <w:rsid w:val="003F185C"/>
    <w:rsid w:val="003F1DD8"/>
    <w:rsid w:val="003F2479"/>
    <w:rsid w:val="003F305B"/>
    <w:rsid w:val="003F3197"/>
    <w:rsid w:val="003F36A3"/>
    <w:rsid w:val="003F396F"/>
    <w:rsid w:val="003F6883"/>
    <w:rsid w:val="0040443F"/>
    <w:rsid w:val="004053E1"/>
    <w:rsid w:val="00405763"/>
    <w:rsid w:val="00407F1C"/>
    <w:rsid w:val="004130BD"/>
    <w:rsid w:val="00413DFC"/>
    <w:rsid w:val="0041402E"/>
    <w:rsid w:val="00414DDA"/>
    <w:rsid w:val="00415F27"/>
    <w:rsid w:val="00416A59"/>
    <w:rsid w:val="00417CA8"/>
    <w:rsid w:val="0042021B"/>
    <w:rsid w:val="004202BA"/>
    <w:rsid w:val="0042190C"/>
    <w:rsid w:val="004230DE"/>
    <w:rsid w:val="00423B4A"/>
    <w:rsid w:val="00425359"/>
    <w:rsid w:val="00425856"/>
    <w:rsid w:val="00427990"/>
    <w:rsid w:val="00430FD9"/>
    <w:rsid w:val="00430FDB"/>
    <w:rsid w:val="00431129"/>
    <w:rsid w:val="004316D7"/>
    <w:rsid w:val="00431740"/>
    <w:rsid w:val="00431C55"/>
    <w:rsid w:val="00431EDA"/>
    <w:rsid w:val="0043231C"/>
    <w:rsid w:val="00432470"/>
    <w:rsid w:val="0043396E"/>
    <w:rsid w:val="00433A09"/>
    <w:rsid w:val="004350B5"/>
    <w:rsid w:val="00435447"/>
    <w:rsid w:val="00441EA1"/>
    <w:rsid w:val="0044294C"/>
    <w:rsid w:val="00445798"/>
    <w:rsid w:val="00446E40"/>
    <w:rsid w:val="0044725C"/>
    <w:rsid w:val="00447465"/>
    <w:rsid w:val="00451065"/>
    <w:rsid w:val="0045133B"/>
    <w:rsid w:val="0045540E"/>
    <w:rsid w:val="00455CBE"/>
    <w:rsid w:val="00455EB7"/>
    <w:rsid w:val="00455FD5"/>
    <w:rsid w:val="00460E8A"/>
    <w:rsid w:val="004617D7"/>
    <w:rsid w:val="0046230A"/>
    <w:rsid w:val="00462707"/>
    <w:rsid w:val="00462C95"/>
    <w:rsid w:val="0046486A"/>
    <w:rsid w:val="00464E7E"/>
    <w:rsid w:val="0046697C"/>
    <w:rsid w:val="00466F3B"/>
    <w:rsid w:val="0046744C"/>
    <w:rsid w:val="00471443"/>
    <w:rsid w:val="00472103"/>
    <w:rsid w:val="00473A6B"/>
    <w:rsid w:val="00476C51"/>
    <w:rsid w:val="004773FC"/>
    <w:rsid w:val="00480328"/>
    <w:rsid w:val="00482163"/>
    <w:rsid w:val="004834FC"/>
    <w:rsid w:val="00483B15"/>
    <w:rsid w:val="00483FB9"/>
    <w:rsid w:val="00485687"/>
    <w:rsid w:val="004875F1"/>
    <w:rsid w:val="00491176"/>
    <w:rsid w:val="004919E4"/>
    <w:rsid w:val="00491F90"/>
    <w:rsid w:val="00492C93"/>
    <w:rsid w:val="00494AE7"/>
    <w:rsid w:val="00494E37"/>
    <w:rsid w:val="00495FC7"/>
    <w:rsid w:val="0049669A"/>
    <w:rsid w:val="004A3794"/>
    <w:rsid w:val="004A57D7"/>
    <w:rsid w:val="004A6AA4"/>
    <w:rsid w:val="004A781C"/>
    <w:rsid w:val="004B05B0"/>
    <w:rsid w:val="004B0CAC"/>
    <w:rsid w:val="004B19B5"/>
    <w:rsid w:val="004B1D7D"/>
    <w:rsid w:val="004B2677"/>
    <w:rsid w:val="004B460A"/>
    <w:rsid w:val="004B4F03"/>
    <w:rsid w:val="004C0212"/>
    <w:rsid w:val="004C05F9"/>
    <w:rsid w:val="004C1573"/>
    <w:rsid w:val="004C4681"/>
    <w:rsid w:val="004C4F8F"/>
    <w:rsid w:val="004C7C13"/>
    <w:rsid w:val="004D067A"/>
    <w:rsid w:val="004D31CA"/>
    <w:rsid w:val="004D38D3"/>
    <w:rsid w:val="004D400A"/>
    <w:rsid w:val="004D715C"/>
    <w:rsid w:val="004E0194"/>
    <w:rsid w:val="004E1325"/>
    <w:rsid w:val="004E1905"/>
    <w:rsid w:val="004E1E6B"/>
    <w:rsid w:val="004E2308"/>
    <w:rsid w:val="004E2A2E"/>
    <w:rsid w:val="004E3BF3"/>
    <w:rsid w:val="004F0A3B"/>
    <w:rsid w:val="004F1294"/>
    <w:rsid w:val="004F1A89"/>
    <w:rsid w:val="004F2445"/>
    <w:rsid w:val="004F56C3"/>
    <w:rsid w:val="004F5DF9"/>
    <w:rsid w:val="004F66B4"/>
    <w:rsid w:val="004F78C6"/>
    <w:rsid w:val="005009C7"/>
    <w:rsid w:val="00501790"/>
    <w:rsid w:val="0050224C"/>
    <w:rsid w:val="0050340D"/>
    <w:rsid w:val="005037A6"/>
    <w:rsid w:val="005077D1"/>
    <w:rsid w:val="005104ED"/>
    <w:rsid w:val="00510960"/>
    <w:rsid w:val="00510A57"/>
    <w:rsid w:val="005128F7"/>
    <w:rsid w:val="00512D53"/>
    <w:rsid w:val="00514883"/>
    <w:rsid w:val="0051571F"/>
    <w:rsid w:val="00515BBC"/>
    <w:rsid w:val="005164CD"/>
    <w:rsid w:val="00516B66"/>
    <w:rsid w:val="00516B96"/>
    <w:rsid w:val="00517D94"/>
    <w:rsid w:val="005201AC"/>
    <w:rsid w:val="00521DA7"/>
    <w:rsid w:val="00521DFE"/>
    <w:rsid w:val="00524710"/>
    <w:rsid w:val="005268EB"/>
    <w:rsid w:val="005273E0"/>
    <w:rsid w:val="00527D57"/>
    <w:rsid w:val="0053119E"/>
    <w:rsid w:val="0053132E"/>
    <w:rsid w:val="00532126"/>
    <w:rsid w:val="00532A04"/>
    <w:rsid w:val="00535A68"/>
    <w:rsid w:val="0054016D"/>
    <w:rsid w:val="0054077F"/>
    <w:rsid w:val="00541DB9"/>
    <w:rsid w:val="005520B4"/>
    <w:rsid w:val="005539FC"/>
    <w:rsid w:val="005555D6"/>
    <w:rsid w:val="00556D01"/>
    <w:rsid w:val="00557405"/>
    <w:rsid w:val="00560149"/>
    <w:rsid w:val="00561C04"/>
    <w:rsid w:val="0056213B"/>
    <w:rsid w:val="00562331"/>
    <w:rsid w:val="00562F82"/>
    <w:rsid w:val="0056373B"/>
    <w:rsid w:val="00564913"/>
    <w:rsid w:val="00564978"/>
    <w:rsid w:val="005663FC"/>
    <w:rsid w:val="00566D73"/>
    <w:rsid w:val="00567C15"/>
    <w:rsid w:val="00570B5A"/>
    <w:rsid w:val="0057249A"/>
    <w:rsid w:val="00572663"/>
    <w:rsid w:val="00573BD8"/>
    <w:rsid w:val="00576256"/>
    <w:rsid w:val="005800D8"/>
    <w:rsid w:val="00581492"/>
    <w:rsid w:val="005822DB"/>
    <w:rsid w:val="005846C9"/>
    <w:rsid w:val="005873FC"/>
    <w:rsid w:val="00590EAF"/>
    <w:rsid w:val="0059549E"/>
    <w:rsid w:val="00595D9D"/>
    <w:rsid w:val="00595DA6"/>
    <w:rsid w:val="00597AC2"/>
    <w:rsid w:val="00597CA8"/>
    <w:rsid w:val="005A0202"/>
    <w:rsid w:val="005A29E3"/>
    <w:rsid w:val="005A3B20"/>
    <w:rsid w:val="005A445B"/>
    <w:rsid w:val="005A507E"/>
    <w:rsid w:val="005A5A4F"/>
    <w:rsid w:val="005A5C12"/>
    <w:rsid w:val="005A640F"/>
    <w:rsid w:val="005A65CD"/>
    <w:rsid w:val="005A6A91"/>
    <w:rsid w:val="005A750C"/>
    <w:rsid w:val="005B0066"/>
    <w:rsid w:val="005B018E"/>
    <w:rsid w:val="005B07CB"/>
    <w:rsid w:val="005B3094"/>
    <w:rsid w:val="005B41F1"/>
    <w:rsid w:val="005B48F0"/>
    <w:rsid w:val="005B4D36"/>
    <w:rsid w:val="005B5D6A"/>
    <w:rsid w:val="005B785F"/>
    <w:rsid w:val="005C0A2B"/>
    <w:rsid w:val="005C3522"/>
    <w:rsid w:val="005C3930"/>
    <w:rsid w:val="005C3E02"/>
    <w:rsid w:val="005C4633"/>
    <w:rsid w:val="005C76D8"/>
    <w:rsid w:val="005C7D37"/>
    <w:rsid w:val="005D71B0"/>
    <w:rsid w:val="005E1321"/>
    <w:rsid w:val="005E2DD4"/>
    <w:rsid w:val="005E587B"/>
    <w:rsid w:val="005E60E9"/>
    <w:rsid w:val="005E6642"/>
    <w:rsid w:val="005E6C5D"/>
    <w:rsid w:val="005E6D43"/>
    <w:rsid w:val="005E75AD"/>
    <w:rsid w:val="005F29C7"/>
    <w:rsid w:val="005F333B"/>
    <w:rsid w:val="005F51F9"/>
    <w:rsid w:val="005F6AE0"/>
    <w:rsid w:val="005F6F64"/>
    <w:rsid w:val="005F7566"/>
    <w:rsid w:val="005F76E7"/>
    <w:rsid w:val="005F7AE3"/>
    <w:rsid w:val="005F7B0A"/>
    <w:rsid w:val="00600718"/>
    <w:rsid w:val="00600C49"/>
    <w:rsid w:val="00604FCF"/>
    <w:rsid w:val="00605C11"/>
    <w:rsid w:val="00606440"/>
    <w:rsid w:val="006078C2"/>
    <w:rsid w:val="00607EFD"/>
    <w:rsid w:val="00611810"/>
    <w:rsid w:val="00613538"/>
    <w:rsid w:val="0061387E"/>
    <w:rsid w:val="00614AA6"/>
    <w:rsid w:val="00614B9F"/>
    <w:rsid w:val="00615A36"/>
    <w:rsid w:val="006171A9"/>
    <w:rsid w:val="0062051A"/>
    <w:rsid w:val="00623436"/>
    <w:rsid w:val="006243BF"/>
    <w:rsid w:val="00625D3B"/>
    <w:rsid w:val="00626502"/>
    <w:rsid w:val="00627C2F"/>
    <w:rsid w:val="00630464"/>
    <w:rsid w:val="0063257C"/>
    <w:rsid w:val="00634CBF"/>
    <w:rsid w:val="00635B69"/>
    <w:rsid w:val="00640F39"/>
    <w:rsid w:val="0064233A"/>
    <w:rsid w:val="006431A0"/>
    <w:rsid w:val="00644475"/>
    <w:rsid w:val="006477A7"/>
    <w:rsid w:val="00647C0B"/>
    <w:rsid w:val="0065019F"/>
    <w:rsid w:val="00651A2B"/>
    <w:rsid w:val="00652486"/>
    <w:rsid w:val="0065349D"/>
    <w:rsid w:val="006536A3"/>
    <w:rsid w:val="006549BF"/>
    <w:rsid w:val="00655AAF"/>
    <w:rsid w:val="00656A30"/>
    <w:rsid w:val="0066135B"/>
    <w:rsid w:val="00661946"/>
    <w:rsid w:val="0066288A"/>
    <w:rsid w:val="00663029"/>
    <w:rsid w:val="00666139"/>
    <w:rsid w:val="006673E7"/>
    <w:rsid w:val="00667C76"/>
    <w:rsid w:val="00671932"/>
    <w:rsid w:val="00672293"/>
    <w:rsid w:val="006735EB"/>
    <w:rsid w:val="00674964"/>
    <w:rsid w:val="00675EF4"/>
    <w:rsid w:val="006776B9"/>
    <w:rsid w:val="00677831"/>
    <w:rsid w:val="006779CB"/>
    <w:rsid w:val="00680B7E"/>
    <w:rsid w:val="00683B94"/>
    <w:rsid w:val="00686692"/>
    <w:rsid w:val="006876DE"/>
    <w:rsid w:val="00693033"/>
    <w:rsid w:val="00693321"/>
    <w:rsid w:val="00694893"/>
    <w:rsid w:val="00694DD9"/>
    <w:rsid w:val="00697671"/>
    <w:rsid w:val="006A0DCA"/>
    <w:rsid w:val="006A12B1"/>
    <w:rsid w:val="006A5F42"/>
    <w:rsid w:val="006A6103"/>
    <w:rsid w:val="006A6690"/>
    <w:rsid w:val="006A6B84"/>
    <w:rsid w:val="006B10ED"/>
    <w:rsid w:val="006B156A"/>
    <w:rsid w:val="006B194C"/>
    <w:rsid w:val="006B51B2"/>
    <w:rsid w:val="006C0D78"/>
    <w:rsid w:val="006C17A0"/>
    <w:rsid w:val="006C2CC5"/>
    <w:rsid w:val="006C5AAA"/>
    <w:rsid w:val="006C7300"/>
    <w:rsid w:val="006D04BE"/>
    <w:rsid w:val="006D1B6C"/>
    <w:rsid w:val="006D27E3"/>
    <w:rsid w:val="006D28E7"/>
    <w:rsid w:val="006D2BFA"/>
    <w:rsid w:val="006D4135"/>
    <w:rsid w:val="006D472D"/>
    <w:rsid w:val="006D70F2"/>
    <w:rsid w:val="006D780E"/>
    <w:rsid w:val="006D7854"/>
    <w:rsid w:val="006E09F2"/>
    <w:rsid w:val="006E1B4C"/>
    <w:rsid w:val="006E2D9C"/>
    <w:rsid w:val="006E53E9"/>
    <w:rsid w:val="006E5777"/>
    <w:rsid w:val="006E6236"/>
    <w:rsid w:val="006E721C"/>
    <w:rsid w:val="006E7556"/>
    <w:rsid w:val="006E786D"/>
    <w:rsid w:val="006F2599"/>
    <w:rsid w:val="006F3EE2"/>
    <w:rsid w:val="006F55FD"/>
    <w:rsid w:val="006F5EB6"/>
    <w:rsid w:val="00700CBD"/>
    <w:rsid w:val="00702245"/>
    <w:rsid w:val="007028C7"/>
    <w:rsid w:val="00704462"/>
    <w:rsid w:val="007049A5"/>
    <w:rsid w:val="007055DF"/>
    <w:rsid w:val="00710C7E"/>
    <w:rsid w:val="00710F3D"/>
    <w:rsid w:val="0071215E"/>
    <w:rsid w:val="007145B4"/>
    <w:rsid w:val="007164C4"/>
    <w:rsid w:val="00716ABD"/>
    <w:rsid w:val="0072717B"/>
    <w:rsid w:val="00730973"/>
    <w:rsid w:val="007321C2"/>
    <w:rsid w:val="00733DE0"/>
    <w:rsid w:val="007357C5"/>
    <w:rsid w:val="00735A52"/>
    <w:rsid w:val="007366D4"/>
    <w:rsid w:val="0074032D"/>
    <w:rsid w:val="007405A7"/>
    <w:rsid w:val="007406E4"/>
    <w:rsid w:val="0074075A"/>
    <w:rsid w:val="00740D25"/>
    <w:rsid w:val="00741328"/>
    <w:rsid w:val="007417B1"/>
    <w:rsid w:val="00746073"/>
    <w:rsid w:val="00747434"/>
    <w:rsid w:val="00747CCD"/>
    <w:rsid w:val="00747D2C"/>
    <w:rsid w:val="0075654A"/>
    <w:rsid w:val="00756F76"/>
    <w:rsid w:val="00761AF2"/>
    <w:rsid w:val="007642BD"/>
    <w:rsid w:val="00766275"/>
    <w:rsid w:val="0076696B"/>
    <w:rsid w:val="007679B9"/>
    <w:rsid w:val="007725B4"/>
    <w:rsid w:val="00773785"/>
    <w:rsid w:val="0077505F"/>
    <w:rsid w:val="00775259"/>
    <w:rsid w:val="00775540"/>
    <w:rsid w:val="00776216"/>
    <w:rsid w:val="007763D6"/>
    <w:rsid w:val="00776572"/>
    <w:rsid w:val="0077738D"/>
    <w:rsid w:val="007774C2"/>
    <w:rsid w:val="00777ADF"/>
    <w:rsid w:val="00787D28"/>
    <w:rsid w:val="0079000C"/>
    <w:rsid w:val="00790B3E"/>
    <w:rsid w:val="00790D93"/>
    <w:rsid w:val="00791CD7"/>
    <w:rsid w:val="00791F2C"/>
    <w:rsid w:val="00792D22"/>
    <w:rsid w:val="0079430D"/>
    <w:rsid w:val="007953B9"/>
    <w:rsid w:val="0079754C"/>
    <w:rsid w:val="007A1395"/>
    <w:rsid w:val="007A22E9"/>
    <w:rsid w:val="007A24EB"/>
    <w:rsid w:val="007A282D"/>
    <w:rsid w:val="007A3B34"/>
    <w:rsid w:val="007A4F2F"/>
    <w:rsid w:val="007A6B97"/>
    <w:rsid w:val="007A7CE5"/>
    <w:rsid w:val="007B19CE"/>
    <w:rsid w:val="007B1E12"/>
    <w:rsid w:val="007B3771"/>
    <w:rsid w:val="007B547C"/>
    <w:rsid w:val="007B63FB"/>
    <w:rsid w:val="007B7A0C"/>
    <w:rsid w:val="007B7C23"/>
    <w:rsid w:val="007B7FFE"/>
    <w:rsid w:val="007C0255"/>
    <w:rsid w:val="007C052A"/>
    <w:rsid w:val="007C09C8"/>
    <w:rsid w:val="007C0C22"/>
    <w:rsid w:val="007C13ED"/>
    <w:rsid w:val="007C1651"/>
    <w:rsid w:val="007C19EA"/>
    <w:rsid w:val="007C22AA"/>
    <w:rsid w:val="007C22CA"/>
    <w:rsid w:val="007C2707"/>
    <w:rsid w:val="007C6623"/>
    <w:rsid w:val="007D0D04"/>
    <w:rsid w:val="007D1941"/>
    <w:rsid w:val="007D1F22"/>
    <w:rsid w:val="007D3572"/>
    <w:rsid w:val="007D3FCB"/>
    <w:rsid w:val="007D501A"/>
    <w:rsid w:val="007D5105"/>
    <w:rsid w:val="007E103C"/>
    <w:rsid w:val="007E300C"/>
    <w:rsid w:val="007E3133"/>
    <w:rsid w:val="007E3995"/>
    <w:rsid w:val="007E39F0"/>
    <w:rsid w:val="007E3F65"/>
    <w:rsid w:val="007E50D9"/>
    <w:rsid w:val="007E5253"/>
    <w:rsid w:val="007E57A5"/>
    <w:rsid w:val="007E5CB8"/>
    <w:rsid w:val="007E61F7"/>
    <w:rsid w:val="007E650F"/>
    <w:rsid w:val="007E68F6"/>
    <w:rsid w:val="007E6B0B"/>
    <w:rsid w:val="007E6EF9"/>
    <w:rsid w:val="007F0511"/>
    <w:rsid w:val="007F2093"/>
    <w:rsid w:val="007F2AE5"/>
    <w:rsid w:val="007F370B"/>
    <w:rsid w:val="007F52E1"/>
    <w:rsid w:val="007F6AB0"/>
    <w:rsid w:val="007F77AD"/>
    <w:rsid w:val="00802670"/>
    <w:rsid w:val="00803615"/>
    <w:rsid w:val="00803805"/>
    <w:rsid w:val="00803F6B"/>
    <w:rsid w:val="00804C68"/>
    <w:rsid w:val="00805337"/>
    <w:rsid w:val="0080582D"/>
    <w:rsid w:val="008059CD"/>
    <w:rsid w:val="0080756C"/>
    <w:rsid w:val="00807FAE"/>
    <w:rsid w:val="008152DB"/>
    <w:rsid w:val="00815792"/>
    <w:rsid w:val="00817D98"/>
    <w:rsid w:val="008203A8"/>
    <w:rsid w:val="00824831"/>
    <w:rsid w:val="008251AB"/>
    <w:rsid w:val="00825ABA"/>
    <w:rsid w:val="00831204"/>
    <w:rsid w:val="00831208"/>
    <w:rsid w:val="00831253"/>
    <w:rsid w:val="00835378"/>
    <w:rsid w:val="00835A02"/>
    <w:rsid w:val="00836387"/>
    <w:rsid w:val="00837428"/>
    <w:rsid w:val="0083796E"/>
    <w:rsid w:val="00840BF1"/>
    <w:rsid w:val="00841859"/>
    <w:rsid w:val="008429CF"/>
    <w:rsid w:val="0084405B"/>
    <w:rsid w:val="008443C4"/>
    <w:rsid w:val="008446E2"/>
    <w:rsid w:val="00844CEC"/>
    <w:rsid w:val="00845630"/>
    <w:rsid w:val="0084708B"/>
    <w:rsid w:val="00847E19"/>
    <w:rsid w:val="00850CD3"/>
    <w:rsid w:val="0085112C"/>
    <w:rsid w:val="0085183E"/>
    <w:rsid w:val="00853766"/>
    <w:rsid w:val="00856B1B"/>
    <w:rsid w:val="0085724C"/>
    <w:rsid w:val="00857683"/>
    <w:rsid w:val="00857D58"/>
    <w:rsid w:val="008601A9"/>
    <w:rsid w:val="00860C62"/>
    <w:rsid w:val="00862ACD"/>
    <w:rsid w:val="0086517F"/>
    <w:rsid w:val="00865B0D"/>
    <w:rsid w:val="00867351"/>
    <w:rsid w:val="00871B33"/>
    <w:rsid w:val="00872949"/>
    <w:rsid w:val="008730BB"/>
    <w:rsid w:val="00873E83"/>
    <w:rsid w:val="008748E2"/>
    <w:rsid w:val="008753F7"/>
    <w:rsid w:val="00877391"/>
    <w:rsid w:val="00877B4E"/>
    <w:rsid w:val="00883C32"/>
    <w:rsid w:val="00885CDD"/>
    <w:rsid w:val="008874C6"/>
    <w:rsid w:val="00887874"/>
    <w:rsid w:val="00887E41"/>
    <w:rsid w:val="00892D75"/>
    <w:rsid w:val="008941DB"/>
    <w:rsid w:val="00895940"/>
    <w:rsid w:val="008A0E9B"/>
    <w:rsid w:val="008A16EA"/>
    <w:rsid w:val="008A2C5D"/>
    <w:rsid w:val="008A5209"/>
    <w:rsid w:val="008A5DDC"/>
    <w:rsid w:val="008A5FC8"/>
    <w:rsid w:val="008B2929"/>
    <w:rsid w:val="008B31F9"/>
    <w:rsid w:val="008B428B"/>
    <w:rsid w:val="008B47F3"/>
    <w:rsid w:val="008B5B36"/>
    <w:rsid w:val="008B6162"/>
    <w:rsid w:val="008B706F"/>
    <w:rsid w:val="008B7732"/>
    <w:rsid w:val="008C04DF"/>
    <w:rsid w:val="008C082D"/>
    <w:rsid w:val="008C1041"/>
    <w:rsid w:val="008C1880"/>
    <w:rsid w:val="008C1971"/>
    <w:rsid w:val="008C2AD0"/>
    <w:rsid w:val="008C4B80"/>
    <w:rsid w:val="008C5036"/>
    <w:rsid w:val="008C6874"/>
    <w:rsid w:val="008D2AC6"/>
    <w:rsid w:val="008D2CAF"/>
    <w:rsid w:val="008D3ACE"/>
    <w:rsid w:val="008D51CC"/>
    <w:rsid w:val="008D648F"/>
    <w:rsid w:val="008E0CD1"/>
    <w:rsid w:val="008E1CB2"/>
    <w:rsid w:val="008E4F95"/>
    <w:rsid w:val="008E5366"/>
    <w:rsid w:val="008F1FC1"/>
    <w:rsid w:val="008F2238"/>
    <w:rsid w:val="008F35DC"/>
    <w:rsid w:val="008F4D52"/>
    <w:rsid w:val="008F4E41"/>
    <w:rsid w:val="008F5276"/>
    <w:rsid w:val="009015BF"/>
    <w:rsid w:val="0090408D"/>
    <w:rsid w:val="00904C80"/>
    <w:rsid w:val="00904E6B"/>
    <w:rsid w:val="00905E74"/>
    <w:rsid w:val="00906EEC"/>
    <w:rsid w:val="00910AE9"/>
    <w:rsid w:val="00913F33"/>
    <w:rsid w:val="00914204"/>
    <w:rsid w:val="00914392"/>
    <w:rsid w:val="009143B2"/>
    <w:rsid w:val="00915C7E"/>
    <w:rsid w:val="009206C0"/>
    <w:rsid w:val="00922606"/>
    <w:rsid w:val="00922D31"/>
    <w:rsid w:val="0092559F"/>
    <w:rsid w:val="0092607C"/>
    <w:rsid w:val="00930F94"/>
    <w:rsid w:val="00931141"/>
    <w:rsid w:val="00931C86"/>
    <w:rsid w:val="00935665"/>
    <w:rsid w:val="00935B30"/>
    <w:rsid w:val="00936A4E"/>
    <w:rsid w:val="00936E77"/>
    <w:rsid w:val="00937965"/>
    <w:rsid w:val="00940C55"/>
    <w:rsid w:val="00941580"/>
    <w:rsid w:val="00944E0C"/>
    <w:rsid w:val="00945CE8"/>
    <w:rsid w:val="00946D8B"/>
    <w:rsid w:val="00946DD8"/>
    <w:rsid w:val="00950D81"/>
    <w:rsid w:val="00952A05"/>
    <w:rsid w:val="009543EB"/>
    <w:rsid w:val="00954978"/>
    <w:rsid w:val="00954B1B"/>
    <w:rsid w:val="009620E6"/>
    <w:rsid w:val="009623AB"/>
    <w:rsid w:val="009631C3"/>
    <w:rsid w:val="00967ED7"/>
    <w:rsid w:val="00970A6B"/>
    <w:rsid w:val="00971171"/>
    <w:rsid w:val="009713C6"/>
    <w:rsid w:val="00971D9B"/>
    <w:rsid w:val="009731EC"/>
    <w:rsid w:val="009732E9"/>
    <w:rsid w:val="009737D9"/>
    <w:rsid w:val="009763C4"/>
    <w:rsid w:val="009803F1"/>
    <w:rsid w:val="00981F1B"/>
    <w:rsid w:val="009828C6"/>
    <w:rsid w:val="00982964"/>
    <w:rsid w:val="00983341"/>
    <w:rsid w:val="009844F7"/>
    <w:rsid w:val="00984753"/>
    <w:rsid w:val="00984AA1"/>
    <w:rsid w:val="00985462"/>
    <w:rsid w:val="009861AC"/>
    <w:rsid w:val="0099079E"/>
    <w:rsid w:val="0099189A"/>
    <w:rsid w:val="00992870"/>
    <w:rsid w:val="00993AB6"/>
    <w:rsid w:val="00993DDC"/>
    <w:rsid w:val="00994079"/>
    <w:rsid w:val="00995FFD"/>
    <w:rsid w:val="00997F4B"/>
    <w:rsid w:val="009A244C"/>
    <w:rsid w:val="009A2BBB"/>
    <w:rsid w:val="009A3612"/>
    <w:rsid w:val="009A4059"/>
    <w:rsid w:val="009A44C8"/>
    <w:rsid w:val="009A45B0"/>
    <w:rsid w:val="009A6A6F"/>
    <w:rsid w:val="009A735F"/>
    <w:rsid w:val="009B07DC"/>
    <w:rsid w:val="009B1B69"/>
    <w:rsid w:val="009B533B"/>
    <w:rsid w:val="009B7570"/>
    <w:rsid w:val="009C1051"/>
    <w:rsid w:val="009C16FB"/>
    <w:rsid w:val="009C37B1"/>
    <w:rsid w:val="009C3B95"/>
    <w:rsid w:val="009C3C80"/>
    <w:rsid w:val="009C470D"/>
    <w:rsid w:val="009C638B"/>
    <w:rsid w:val="009D217F"/>
    <w:rsid w:val="009D3626"/>
    <w:rsid w:val="009D3B66"/>
    <w:rsid w:val="009D550D"/>
    <w:rsid w:val="009D68FB"/>
    <w:rsid w:val="009E04B3"/>
    <w:rsid w:val="009E0DFC"/>
    <w:rsid w:val="009E442B"/>
    <w:rsid w:val="009E5252"/>
    <w:rsid w:val="009E5B74"/>
    <w:rsid w:val="009E6E9A"/>
    <w:rsid w:val="009E7C14"/>
    <w:rsid w:val="009F094B"/>
    <w:rsid w:val="009F0A01"/>
    <w:rsid w:val="009F3B2B"/>
    <w:rsid w:val="009F3CA2"/>
    <w:rsid w:val="009F419C"/>
    <w:rsid w:val="009F43E0"/>
    <w:rsid w:val="009F62D9"/>
    <w:rsid w:val="00A01D7B"/>
    <w:rsid w:val="00A04583"/>
    <w:rsid w:val="00A04D6C"/>
    <w:rsid w:val="00A055A5"/>
    <w:rsid w:val="00A116EB"/>
    <w:rsid w:val="00A1268C"/>
    <w:rsid w:val="00A12A7C"/>
    <w:rsid w:val="00A1330E"/>
    <w:rsid w:val="00A138DE"/>
    <w:rsid w:val="00A140F7"/>
    <w:rsid w:val="00A15328"/>
    <w:rsid w:val="00A215A8"/>
    <w:rsid w:val="00A22790"/>
    <w:rsid w:val="00A23838"/>
    <w:rsid w:val="00A23944"/>
    <w:rsid w:val="00A25FA0"/>
    <w:rsid w:val="00A2678B"/>
    <w:rsid w:val="00A31A3C"/>
    <w:rsid w:val="00A31C92"/>
    <w:rsid w:val="00A320C1"/>
    <w:rsid w:val="00A32E8A"/>
    <w:rsid w:val="00A33F37"/>
    <w:rsid w:val="00A34A91"/>
    <w:rsid w:val="00A35C5C"/>
    <w:rsid w:val="00A36AB7"/>
    <w:rsid w:val="00A374EB"/>
    <w:rsid w:val="00A402A1"/>
    <w:rsid w:val="00A44175"/>
    <w:rsid w:val="00A45A85"/>
    <w:rsid w:val="00A475B0"/>
    <w:rsid w:val="00A50D22"/>
    <w:rsid w:val="00A512C3"/>
    <w:rsid w:val="00A5223C"/>
    <w:rsid w:val="00A528B0"/>
    <w:rsid w:val="00A54BB1"/>
    <w:rsid w:val="00A54E22"/>
    <w:rsid w:val="00A55140"/>
    <w:rsid w:val="00A571FE"/>
    <w:rsid w:val="00A57DDC"/>
    <w:rsid w:val="00A60300"/>
    <w:rsid w:val="00A60395"/>
    <w:rsid w:val="00A61836"/>
    <w:rsid w:val="00A6287E"/>
    <w:rsid w:val="00A64A3F"/>
    <w:rsid w:val="00A6710A"/>
    <w:rsid w:val="00A67354"/>
    <w:rsid w:val="00A71593"/>
    <w:rsid w:val="00A72644"/>
    <w:rsid w:val="00A72B79"/>
    <w:rsid w:val="00A73BD7"/>
    <w:rsid w:val="00A742C7"/>
    <w:rsid w:val="00A7453E"/>
    <w:rsid w:val="00A753C0"/>
    <w:rsid w:val="00A75510"/>
    <w:rsid w:val="00A77C2C"/>
    <w:rsid w:val="00A80062"/>
    <w:rsid w:val="00A8095B"/>
    <w:rsid w:val="00A82146"/>
    <w:rsid w:val="00A856EB"/>
    <w:rsid w:val="00A858D0"/>
    <w:rsid w:val="00A9022E"/>
    <w:rsid w:val="00A902D4"/>
    <w:rsid w:val="00A9408B"/>
    <w:rsid w:val="00A9464D"/>
    <w:rsid w:val="00A94974"/>
    <w:rsid w:val="00A9539C"/>
    <w:rsid w:val="00A95683"/>
    <w:rsid w:val="00A9641B"/>
    <w:rsid w:val="00A96E34"/>
    <w:rsid w:val="00AA1165"/>
    <w:rsid w:val="00AA1480"/>
    <w:rsid w:val="00AA1E32"/>
    <w:rsid w:val="00AA2A10"/>
    <w:rsid w:val="00AA397F"/>
    <w:rsid w:val="00AA3F31"/>
    <w:rsid w:val="00AA4625"/>
    <w:rsid w:val="00AA5517"/>
    <w:rsid w:val="00AB1F1A"/>
    <w:rsid w:val="00AB31D7"/>
    <w:rsid w:val="00AB53E4"/>
    <w:rsid w:val="00AB5467"/>
    <w:rsid w:val="00AC2BEF"/>
    <w:rsid w:val="00AC2F08"/>
    <w:rsid w:val="00AC35B2"/>
    <w:rsid w:val="00AC4F34"/>
    <w:rsid w:val="00AC6EC2"/>
    <w:rsid w:val="00AD13C0"/>
    <w:rsid w:val="00AD1F3E"/>
    <w:rsid w:val="00AD2036"/>
    <w:rsid w:val="00AD22E3"/>
    <w:rsid w:val="00AD4439"/>
    <w:rsid w:val="00AD76F2"/>
    <w:rsid w:val="00AD7D03"/>
    <w:rsid w:val="00AE1224"/>
    <w:rsid w:val="00AE12C5"/>
    <w:rsid w:val="00AE18A3"/>
    <w:rsid w:val="00AE3A4B"/>
    <w:rsid w:val="00AE3A63"/>
    <w:rsid w:val="00AE4755"/>
    <w:rsid w:val="00AE4E53"/>
    <w:rsid w:val="00AE5416"/>
    <w:rsid w:val="00AE5435"/>
    <w:rsid w:val="00AE645C"/>
    <w:rsid w:val="00AF2918"/>
    <w:rsid w:val="00AF3ABE"/>
    <w:rsid w:val="00AF6286"/>
    <w:rsid w:val="00AF6959"/>
    <w:rsid w:val="00AF7AC8"/>
    <w:rsid w:val="00B00520"/>
    <w:rsid w:val="00B00B25"/>
    <w:rsid w:val="00B00F8E"/>
    <w:rsid w:val="00B014D0"/>
    <w:rsid w:val="00B03B39"/>
    <w:rsid w:val="00B03CB0"/>
    <w:rsid w:val="00B041A9"/>
    <w:rsid w:val="00B04350"/>
    <w:rsid w:val="00B0465E"/>
    <w:rsid w:val="00B05CBC"/>
    <w:rsid w:val="00B06A70"/>
    <w:rsid w:val="00B06B41"/>
    <w:rsid w:val="00B06D0F"/>
    <w:rsid w:val="00B076BD"/>
    <w:rsid w:val="00B1218F"/>
    <w:rsid w:val="00B122CE"/>
    <w:rsid w:val="00B13262"/>
    <w:rsid w:val="00B14140"/>
    <w:rsid w:val="00B144EC"/>
    <w:rsid w:val="00B145CD"/>
    <w:rsid w:val="00B14791"/>
    <w:rsid w:val="00B14C20"/>
    <w:rsid w:val="00B16238"/>
    <w:rsid w:val="00B21628"/>
    <w:rsid w:val="00B23F81"/>
    <w:rsid w:val="00B23F8B"/>
    <w:rsid w:val="00B24204"/>
    <w:rsid w:val="00B24EB1"/>
    <w:rsid w:val="00B27724"/>
    <w:rsid w:val="00B30BC2"/>
    <w:rsid w:val="00B30C63"/>
    <w:rsid w:val="00B30F3D"/>
    <w:rsid w:val="00B315B3"/>
    <w:rsid w:val="00B31645"/>
    <w:rsid w:val="00B34514"/>
    <w:rsid w:val="00B34550"/>
    <w:rsid w:val="00B34F46"/>
    <w:rsid w:val="00B35482"/>
    <w:rsid w:val="00B3755C"/>
    <w:rsid w:val="00B37837"/>
    <w:rsid w:val="00B379BC"/>
    <w:rsid w:val="00B37F7E"/>
    <w:rsid w:val="00B42043"/>
    <w:rsid w:val="00B432A0"/>
    <w:rsid w:val="00B45473"/>
    <w:rsid w:val="00B457B8"/>
    <w:rsid w:val="00B4738B"/>
    <w:rsid w:val="00B476AF"/>
    <w:rsid w:val="00B517F7"/>
    <w:rsid w:val="00B51EBF"/>
    <w:rsid w:val="00B52AFC"/>
    <w:rsid w:val="00B52EFE"/>
    <w:rsid w:val="00B56016"/>
    <w:rsid w:val="00B57479"/>
    <w:rsid w:val="00B60331"/>
    <w:rsid w:val="00B60A8A"/>
    <w:rsid w:val="00B60DCA"/>
    <w:rsid w:val="00B6305A"/>
    <w:rsid w:val="00B6369D"/>
    <w:rsid w:val="00B63C73"/>
    <w:rsid w:val="00B642C5"/>
    <w:rsid w:val="00B6589F"/>
    <w:rsid w:val="00B66F3E"/>
    <w:rsid w:val="00B672B3"/>
    <w:rsid w:val="00B678CC"/>
    <w:rsid w:val="00B678DB"/>
    <w:rsid w:val="00B712C3"/>
    <w:rsid w:val="00B7367C"/>
    <w:rsid w:val="00B76DB6"/>
    <w:rsid w:val="00B76EA0"/>
    <w:rsid w:val="00B77761"/>
    <w:rsid w:val="00B77DBF"/>
    <w:rsid w:val="00B80269"/>
    <w:rsid w:val="00B8044D"/>
    <w:rsid w:val="00B810DF"/>
    <w:rsid w:val="00B81FBB"/>
    <w:rsid w:val="00B823AE"/>
    <w:rsid w:val="00B84851"/>
    <w:rsid w:val="00B85414"/>
    <w:rsid w:val="00B902B9"/>
    <w:rsid w:val="00B90708"/>
    <w:rsid w:val="00B908BF"/>
    <w:rsid w:val="00B910E0"/>
    <w:rsid w:val="00B92C59"/>
    <w:rsid w:val="00B93BA2"/>
    <w:rsid w:val="00B95B21"/>
    <w:rsid w:val="00B95BFE"/>
    <w:rsid w:val="00B96C22"/>
    <w:rsid w:val="00B972D3"/>
    <w:rsid w:val="00BA0965"/>
    <w:rsid w:val="00BA1705"/>
    <w:rsid w:val="00BA2132"/>
    <w:rsid w:val="00BA3224"/>
    <w:rsid w:val="00BA456F"/>
    <w:rsid w:val="00BA5352"/>
    <w:rsid w:val="00BA659C"/>
    <w:rsid w:val="00BA7C4B"/>
    <w:rsid w:val="00BB1260"/>
    <w:rsid w:val="00BB4389"/>
    <w:rsid w:val="00BB43C4"/>
    <w:rsid w:val="00BB61BE"/>
    <w:rsid w:val="00BC1712"/>
    <w:rsid w:val="00BC1F08"/>
    <w:rsid w:val="00BC22AB"/>
    <w:rsid w:val="00BC2797"/>
    <w:rsid w:val="00BC2F58"/>
    <w:rsid w:val="00BC4189"/>
    <w:rsid w:val="00BC4227"/>
    <w:rsid w:val="00BC4340"/>
    <w:rsid w:val="00BC54CD"/>
    <w:rsid w:val="00BC56F5"/>
    <w:rsid w:val="00BC615D"/>
    <w:rsid w:val="00BC6CD8"/>
    <w:rsid w:val="00BD1366"/>
    <w:rsid w:val="00BD1AC1"/>
    <w:rsid w:val="00BD1D46"/>
    <w:rsid w:val="00BD31CA"/>
    <w:rsid w:val="00BD3419"/>
    <w:rsid w:val="00BD43E5"/>
    <w:rsid w:val="00BD5479"/>
    <w:rsid w:val="00BD57EF"/>
    <w:rsid w:val="00BD59E3"/>
    <w:rsid w:val="00BD771F"/>
    <w:rsid w:val="00BD7FD7"/>
    <w:rsid w:val="00BE0315"/>
    <w:rsid w:val="00BE05F0"/>
    <w:rsid w:val="00BE091A"/>
    <w:rsid w:val="00BE1772"/>
    <w:rsid w:val="00BE1DEB"/>
    <w:rsid w:val="00BE49D1"/>
    <w:rsid w:val="00BF0A46"/>
    <w:rsid w:val="00BF0E8E"/>
    <w:rsid w:val="00BF1A7F"/>
    <w:rsid w:val="00BF3E91"/>
    <w:rsid w:val="00BF561D"/>
    <w:rsid w:val="00BF70EF"/>
    <w:rsid w:val="00C00474"/>
    <w:rsid w:val="00C00F37"/>
    <w:rsid w:val="00C02A99"/>
    <w:rsid w:val="00C03F51"/>
    <w:rsid w:val="00C10CC7"/>
    <w:rsid w:val="00C111ED"/>
    <w:rsid w:val="00C11DF8"/>
    <w:rsid w:val="00C13225"/>
    <w:rsid w:val="00C136A2"/>
    <w:rsid w:val="00C14C86"/>
    <w:rsid w:val="00C15313"/>
    <w:rsid w:val="00C15A5F"/>
    <w:rsid w:val="00C17715"/>
    <w:rsid w:val="00C229F8"/>
    <w:rsid w:val="00C2369A"/>
    <w:rsid w:val="00C25365"/>
    <w:rsid w:val="00C25B02"/>
    <w:rsid w:val="00C322F1"/>
    <w:rsid w:val="00C33284"/>
    <w:rsid w:val="00C33F76"/>
    <w:rsid w:val="00C34398"/>
    <w:rsid w:val="00C343E5"/>
    <w:rsid w:val="00C351A6"/>
    <w:rsid w:val="00C35A4C"/>
    <w:rsid w:val="00C35E0D"/>
    <w:rsid w:val="00C371FA"/>
    <w:rsid w:val="00C377A2"/>
    <w:rsid w:val="00C46F61"/>
    <w:rsid w:val="00C47598"/>
    <w:rsid w:val="00C47BB2"/>
    <w:rsid w:val="00C47CC5"/>
    <w:rsid w:val="00C51A32"/>
    <w:rsid w:val="00C51C28"/>
    <w:rsid w:val="00C53456"/>
    <w:rsid w:val="00C53E6D"/>
    <w:rsid w:val="00C55EA7"/>
    <w:rsid w:val="00C60C2D"/>
    <w:rsid w:val="00C6162E"/>
    <w:rsid w:val="00C62E87"/>
    <w:rsid w:val="00C65399"/>
    <w:rsid w:val="00C65917"/>
    <w:rsid w:val="00C70043"/>
    <w:rsid w:val="00C71B5B"/>
    <w:rsid w:val="00C7208D"/>
    <w:rsid w:val="00C721DE"/>
    <w:rsid w:val="00C73861"/>
    <w:rsid w:val="00C7432C"/>
    <w:rsid w:val="00C75791"/>
    <w:rsid w:val="00C75F30"/>
    <w:rsid w:val="00C76304"/>
    <w:rsid w:val="00C76427"/>
    <w:rsid w:val="00C77F90"/>
    <w:rsid w:val="00C80554"/>
    <w:rsid w:val="00C84955"/>
    <w:rsid w:val="00C84A39"/>
    <w:rsid w:val="00C85FED"/>
    <w:rsid w:val="00C86467"/>
    <w:rsid w:val="00C87199"/>
    <w:rsid w:val="00C912FD"/>
    <w:rsid w:val="00C95C72"/>
    <w:rsid w:val="00C95FE9"/>
    <w:rsid w:val="00C96B86"/>
    <w:rsid w:val="00C971F9"/>
    <w:rsid w:val="00C97DF7"/>
    <w:rsid w:val="00CA14C9"/>
    <w:rsid w:val="00CA1A6A"/>
    <w:rsid w:val="00CA24FB"/>
    <w:rsid w:val="00CA27D6"/>
    <w:rsid w:val="00CA6108"/>
    <w:rsid w:val="00CA64D5"/>
    <w:rsid w:val="00CB1877"/>
    <w:rsid w:val="00CB3201"/>
    <w:rsid w:val="00CB3415"/>
    <w:rsid w:val="00CB4329"/>
    <w:rsid w:val="00CB6290"/>
    <w:rsid w:val="00CB766B"/>
    <w:rsid w:val="00CC191C"/>
    <w:rsid w:val="00CC356D"/>
    <w:rsid w:val="00CC3FEB"/>
    <w:rsid w:val="00CC6F87"/>
    <w:rsid w:val="00CD0EF3"/>
    <w:rsid w:val="00CD109D"/>
    <w:rsid w:val="00CD1E9D"/>
    <w:rsid w:val="00CD2289"/>
    <w:rsid w:val="00CD2D54"/>
    <w:rsid w:val="00CD5288"/>
    <w:rsid w:val="00CD66E6"/>
    <w:rsid w:val="00CD6ABB"/>
    <w:rsid w:val="00CE1983"/>
    <w:rsid w:val="00CE2909"/>
    <w:rsid w:val="00CE417B"/>
    <w:rsid w:val="00CE4C21"/>
    <w:rsid w:val="00CE53E5"/>
    <w:rsid w:val="00CE5CF2"/>
    <w:rsid w:val="00CE71E9"/>
    <w:rsid w:val="00CF1481"/>
    <w:rsid w:val="00CF2572"/>
    <w:rsid w:val="00CF25A1"/>
    <w:rsid w:val="00CF2FFE"/>
    <w:rsid w:val="00CF3124"/>
    <w:rsid w:val="00CF461F"/>
    <w:rsid w:val="00CF6B77"/>
    <w:rsid w:val="00CF71E3"/>
    <w:rsid w:val="00D00A5D"/>
    <w:rsid w:val="00D00A87"/>
    <w:rsid w:val="00D01354"/>
    <w:rsid w:val="00D01910"/>
    <w:rsid w:val="00D02F2F"/>
    <w:rsid w:val="00D03CB9"/>
    <w:rsid w:val="00D05411"/>
    <w:rsid w:val="00D055F6"/>
    <w:rsid w:val="00D06476"/>
    <w:rsid w:val="00D06995"/>
    <w:rsid w:val="00D10910"/>
    <w:rsid w:val="00D13087"/>
    <w:rsid w:val="00D16AA9"/>
    <w:rsid w:val="00D16FA0"/>
    <w:rsid w:val="00D17378"/>
    <w:rsid w:val="00D216B2"/>
    <w:rsid w:val="00D26479"/>
    <w:rsid w:val="00D26DCE"/>
    <w:rsid w:val="00D27D7D"/>
    <w:rsid w:val="00D319AD"/>
    <w:rsid w:val="00D3275F"/>
    <w:rsid w:val="00D341F3"/>
    <w:rsid w:val="00D34548"/>
    <w:rsid w:val="00D34914"/>
    <w:rsid w:val="00D37A37"/>
    <w:rsid w:val="00D4128C"/>
    <w:rsid w:val="00D4411B"/>
    <w:rsid w:val="00D44EC6"/>
    <w:rsid w:val="00D5130A"/>
    <w:rsid w:val="00D51533"/>
    <w:rsid w:val="00D51769"/>
    <w:rsid w:val="00D522D8"/>
    <w:rsid w:val="00D52593"/>
    <w:rsid w:val="00D5491C"/>
    <w:rsid w:val="00D54CCF"/>
    <w:rsid w:val="00D554E8"/>
    <w:rsid w:val="00D55E12"/>
    <w:rsid w:val="00D5748E"/>
    <w:rsid w:val="00D612A9"/>
    <w:rsid w:val="00D6411E"/>
    <w:rsid w:val="00D64482"/>
    <w:rsid w:val="00D66935"/>
    <w:rsid w:val="00D735D0"/>
    <w:rsid w:val="00D80021"/>
    <w:rsid w:val="00D84C22"/>
    <w:rsid w:val="00D858D9"/>
    <w:rsid w:val="00D8724C"/>
    <w:rsid w:val="00D87E37"/>
    <w:rsid w:val="00D93004"/>
    <w:rsid w:val="00D93711"/>
    <w:rsid w:val="00D938C1"/>
    <w:rsid w:val="00D942C4"/>
    <w:rsid w:val="00D96D2A"/>
    <w:rsid w:val="00DA2C76"/>
    <w:rsid w:val="00DA466E"/>
    <w:rsid w:val="00DA47A8"/>
    <w:rsid w:val="00DA7D61"/>
    <w:rsid w:val="00DB1890"/>
    <w:rsid w:val="00DB3592"/>
    <w:rsid w:val="00DB47E5"/>
    <w:rsid w:val="00DB4C93"/>
    <w:rsid w:val="00DB5421"/>
    <w:rsid w:val="00DB64F4"/>
    <w:rsid w:val="00DC2894"/>
    <w:rsid w:val="00DC3F8A"/>
    <w:rsid w:val="00DC795E"/>
    <w:rsid w:val="00DD1537"/>
    <w:rsid w:val="00DD3A14"/>
    <w:rsid w:val="00DD46E9"/>
    <w:rsid w:val="00DD740A"/>
    <w:rsid w:val="00DD7F26"/>
    <w:rsid w:val="00DE0D00"/>
    <w:rsid w:val="00DE16CD"/>
    <w:rsid w:val="00DE6492"/>
    <w:rsid w:val="00DF280B"/>
    <w:rsid w:val="00DF28B7"/>
    <w:rsid w:val="00DF3079"/>
    <w:rsid w:val="00DF3345"/>
    <w:rsid w:val="00DF383D"/>
    <w:rsid w:val="00DF5F6C"/>
    <w:rsid w:val="00DF68C0"/>
    <w:rsid w:val="00DF7650"/>
    <w:rsid w:val="00DF7F5A"/>
    <w:rsid w:val="00E00332"/>
    <w:rsid w:val="00E00FFD"/>
    <w:rsid w:val="00E02A02"/>
    <w:rsid w:val="00E04590"/>
    <w:rsid w:val="00E04C02"/>
    <w:rsid w:val="00E053B2"/>
    <w:rsid w:val="00E0617A"/>
    <w:rsid w:val="00E064D3"/>
    <w:rsid w:val="00E06595"/>
    <w:rsid w:val="00E12316"/>
    <w:rsid w:val="00E1277F"/>
    <w:rsid w:val="00E139D5"/>
    <w:rsid w:val="00E14CA5"/>
    <w:rsid w:val="00E15202"/>
    <w:rsid w:val="00E152DF"/>
    <w:rsid w:val="00E15505"/>
    <w:rsid w:val="00E22D1B"/>
    <w:rsid w:val="00E235F5"/>
    <w:rsid w:val="00E23783"/>
    <w:rsid w:val="00E256E5"/>
    <w:rsid w:val="00E26411"/>
    <w:rsid w:val="00E27AE8"/>
    <w:rsid w:val="00E3008F"/>
    <w:rsid w:val="00E307B6"/>
    <w:rsid w:val="00E3253D"/>
    <w:rsid w:val="00E32E9C"/>
    <w:rsid w:val="00E34EBE"/>
    <w:rsid w:val="00E34F85"/>
    <w:rsid w:val="00E4196F"/>
    <w:rsid w:val="00E41A87"/>
    <w:rsid w:val="00E41AD6"/>
    <w:rsid w:val="00E42017"/>
    <w:rsid w:val="00E42730"/>
    <w:rsid w:val="00E45AB1"/>
    <w:rsid w:val="00E45C81"/>
    <w:rsid w:val="00E46268"/>
    <w:rsid w:val="00E462F2"/>
    <w:rsid w:val="00E528F9"/>
    <w:rsid w:val="00E53522"/>
    <w:rsid w:val="00E55854"/>
    <w:rsid w:val="00E56707"/>
    <w:rsid w:val="00E57739"/>
    <w:rsid w:val="00E628AD"/>
    <w:rsid w:val="00E62908"/>
    <w:rsid w:val="00E64339"/>
    <w:rsid w:val="00E677BD"/>
    <w:rsid w:val="00E708BC"/>
    <w:rsid w:val="00E70C44"/>
    <w:rsid w:val="00E72B6E"/>
    <w:rsid w:val="00E74B6D"/>
    <w:rsid w:val="00E775E3"/>
    <w:rsid w:val="00E84570"/>
    <w:rsid w:val="00E8487A"/>
    <w:rsid w:val="00E872A7"/>
    <w:rsid w:val="00E901AB"/>
    <w:rsid w:val="00E9292A"/>
    <w:rsid w:val="00E967EA"/>
    <w:rsid w:val="00E97299"/>
    <w:rsid w:val="00EA19E9"/>
    <w:rsid w:val="00EA2443"/>
    <w:rsid w:val="00EA369D"/>
    <w:rsid w:val="00EA3B6D"/>
    <w:rsid w:val="00EA3EF5"/>
    <w:rsid w:val="00EA411E"/>
    <w:rsid w:val="00EA4C4D"/>
    <w:rsid w:val="00EA641F"/>
    <w:rsid w:val="00EA6A5A"/>
    <w:rsid w:val="00EA714D"/>
    <w:rsid w:val="00EB19E0"/>
    <w:rsid w:val="00EB1C21"/>
    <w:rsid w:val="00EB249C"/>
    <w:rsid w:val="00EB3B36"/>
    <w:rsid w:val="00EB5754"/>
    <w:rsid w:val="00EB5A80"/>
    <w:rsid w:val="00EB780D"/>
    <w:rsid w:val="00EB7FBE"/>
    <w:rsid w:val="00EC07DD"/>
    <w:rsid w:val="00EC093F"/>
    <w:rsid w:val="00EC0D7C"/>
    <w:rsid w:val="00EC11A8"/>
    <w:rsid w:val="00EC3652"/>
    <w:rsid w:val="00EC3D03"/>
    <w:rsid w:val="00EC7F14"/>
    <w:rsid w:val="00ED3078"/>
    <w:rsid w:val="00ED3187"/>
    <w:rsid w:val="00ED3B24"/>
    <w:rsid w:val="00ED415E"/>
    <w:rsid w:val="00ED4969"/>
    <w:rsid w:val="00ED56D3"/>
    <w:rsid w:val="00ED78E4"/>
    <w:rsid w:val="00EE220A"/>
    <w:rsid w:val="00EE2448"/>
    <w:rsid w:val="00EE2853"/>
    <w:rsid w:val="00EE352A"/>
    <w:rsid w:val="00EF2B66"/>
    <w:rsid w:val="00EF5D36"/>
    <w:rsid w:val="00EF66FC"/>
    <w:rsid w:val="00F0135B"/>
    <w:rsid w:val="00F02E73"/>
    <w:rsid w:val="00F065FD"/>
    <w:rsid w:val="00F10140"/>
    <w:rsid w:val="00F109C7"/>
    <w:rsid w:val="00F11BAF"/>
    <w:rsid w:val="00F11CE3"/>
    <w:rsid w:val="00F132DC"/>
    <w:rsid w:val="00F13A9A"/>
    <w:rsid w:val="00F13B27"/>
    <w:rsid w:val="00F15C07"/>
    <w:rsid w:val="00F16559"/>
    <w:rsid w:val="00F16E77"/>
    <w:rsid w:val="00F16FDF"/>
    <w:rsid w:val="00F17DCE"/>
    <w:rsid w:val="00F22750"/>
    <w:rsid w:val="00F23CA1"/>
    <w:rsid w:val="00F2401A"/>
    <w:rsid w:val="00F257BB"/>
    <w:rsid w:val="00F25880"/>
    <w:rsid w:val="00F2646F"/>
    <w:rsid w:val="00F26E33"/>
    <w:rsid w:val="00F27E65"/>
    <w:rsid w:val="00F30EE7"/>
    <w:rsid w:val="00F318BA"/>
    <w:rsid w:val="00F31DEA"/>
    <w:rsid w:val="00F338D8"/>
    <w:rsid w:val="00F33B08"/>
    <w:rsid w:val="00F356D2"/>
    <w:rsid w:val="00F36A95"/>
    <w:rsid w:val="00F36F01"/>
    <w:rsid w:val="00F37349"/>
    <w:rsid w:val="00F405C9"/>
    <w:rsid w:val="00F40A19"/>
    <w:rsid w:val="00F40C29"/>
    <w:rsid w:val="00F414CD"/>
    <w:rsid w:val="00F414F8"/>
    <w:rsid w:val="00F44FA1"/>
    <w:rsid w:val="00F45418"/>
    <w:rsid w:val="00F47626"/>
    <w:rsid w:val="00F47CAB"/>
    <w:rsid w:val="00F50275"/>
    <w:rsid w:val="00F505C7"/>
    <w:rsid w:val="00F51366"/>
    <w:rsid w:val="00F534AD"/>
    <w:rsid w:val="00F53C9E"/>
    <w:rsid w:val="00F54824"/>
    <w:rsid w:val="00F54D09"/>
    <w:rsid w:val="00F566F6"/>
    <w:rsid w:val="00F56CE1"/>
    <w:rsid w:val="00F6003E"/>
    <w:rsid w:val="00F60839"/>
    <w:rsid w:val="00F61DD5"/>
    <w:rsid w:val="00F62AE5"/>
    <w:rsid w:val="00F62D01"/>
    <w:rsid w:val="00F62EE5"/>
    <w:rsid w:val="00F669C5"/>
    <w:rsid w:val="00F67C1B"/>
    <w:rsid w:val="00F70195"/>
    <w:rsid w:val="00F72DEA"/>
    <w:rsid w:val="00F75340"/>
    <w:rsid w:val="00F75710"/>
    <w:rsid w:val="00F75739"/>
    <w:rsid w:val="00F75AC9"/>
    <w:rsid w:val="00F75ED1"/>
    <w:rsid w:val="00F77814"/>
    <w:rsid w:val="00F803B0"/>
    <w:rsid w:val="00F80409"/>
    <w:rsid w:val="00F80E14"/>
    <w:rsid w:val="00F80E25"/>
    <w:rsid w:val="00F81524"/>
    <w:rsid w:val="00F83362"/>
    <w:rsid w:val="00F8600C"/>
    <w:rsid w:val="00F863C1"/>
    <w:rsid w:val="00F869B7"/>
    <w:rsid w:val="00F86E68"/>
    <w:rsid w:val="00F86EF5"/>
    <w:rsid w:val="00F9005C"/>
    <w:rsid w:val="00F904AE"/>
    <w:rsid w:val="00F90826"/>
    <w:rsid w:val="00F91CBA"/>
    <w:rsid w:val="00F91DF2"/>
    <w:rsid w:val="00F92513"/>
    <w:rsid w:val="00F93AEB"/>
    <w:rsid w:val="00F9506A"/>
    <w:rsid w:val="00F95B03"/>
    <w:rsid w:val="00F96026"/>
    <w:rsid w:val="00F96B57"/>
    <w:rsid w:val="00F97CE1"/>
    <w:rsid w:val="00FA0966"/>
    <w:rsid w:val="00FA2F4D"/>
    <w:rsid w:val="00FA6905"/>
    <w:rsid w:val="00FA7A01"/>
    <w:rsid w:val="00FB03E9"/>
    <w:rsid w:val="00FB231E"/>
    <w:rsid w:val="00FB2F2E"/>
    <w:rsid w:val="00FB37C3"/>
    <w:rsid w:val="00FB4456"/>
    <w:rsid w:val="00FB4D43"/>
    <w:rsid w:val="00FB5485"/>
    <w:rsid w:val="00FB5D74"/>
    <w:rsid w:val="00FB6981"/>
    <w:rsid w:val="00FB7076"/>
    <w:rsid w:val="00FC0936"/>
    <w:rsid w:val="00FC21CD"/>
    <w:rsid w:val="00FC3598"/>
    <w:rsid w:val="00FC3A0E"/>
    <w:rsid w:val="00FC3B9D"/>
    <w:rsid w:val="00FC4607"/>
    <w:rsid w:val="00FC5D45"/>
    <w:rsid w:val="00FC5E78"/>
    <w:rsid w:val="00FC691C"/>
    <w:rsid w:val="00FD0A3A"/>
    <w:rsid w:val="00FD16AF"/>
    <w:rsid w:val="00FD18F7"/>
    <w:rsid w:val="00FD1F4D"/>
    <w:rsid w:val="00FD2218"/>
    <w:rsid w:val="00FD2A3E"/>
    <w:rsid w:val="00FD546E"/>
    <w:rsid w:val="00FD7077"/>
    <w:rsid w:val="00FE153D"/>
    <w:rsid w:val="00FE5BBC"/>
    <w:rsid w:val="00FE6638"/>
    <w:rsid w:val="00FF2B42"/>
    <w:rsid w:val="00FF454E"/>
    <w:rsid w:val="00FF507F"/>
    <w:rsid w:val="00FF5D4D"/>
    <w:rsid w:val="00FF649E"/>
    <w:rsid w:val="00FF6FE3"/>
    <w:rsid w:val="02AD16A1"/>
    <w:rsid w:val="0AB63DEA"/>
    <w:rsid w:val="0DE06AE0"/>
    <w:rsid w:val="14131904"/>
    <w:rsid w:val="195A6F89"/>
    <w:rsid w:val="251E4BB7"/>
    <w:rsid w:val="2C924425"/>
    <w:rsid w:val="2FAA71A9"/>
    <w:rsid w:val="2FD4123F"/>
    <w:rsid w:val="3557571F"/>
    <w:rsid w:val="43C72D30"/>
    <w:rsid w:val="49D573F7"/>
    <w:rsid w:val="52602AD2"/>
    <w:rsid w:val="5C3D11FD"/>
    <w:rsid w:val="60A8129D"/>
    <w:rsid w:val="61E763C3"/>
    <w:rsid w:val="65CC7E3B"/>
    <w:rsid w:val="68E77C3C"/>
    <w:rsid w:val="6F917A96"/>
    <w:rsid w:val="722F6AD6"/>
    <w:rsid w:val="773E533D"/>
    <w:rsid w:val="7D7C2366"/>
  </w:rsids>
  <m:mathPr>
    <m:mathFont m:val="Cambria Math"/>
    <m:brkBin m:val="before"/>
    <m:brkBinSub m:val="--"/>
    <m:smallFrac m:val="0"/>
    <m:dispDef/>
    <m:lMargin m:val="0"/>
    <m:rMargin m:val="0"/>
    <m:defJc m:val="centerGroup"/>
    <m:wrapIndent m:val="1440"/>
    <m:intLim m:val="subSup"/>
    <m:naryLim m:val="undOvr"/>
  </m:mathPr>
  <w:doNotAutoCompressPictures/>
  <w:themeFontLang w:val="pt-BR" w:eastAsia="ja-JP"/>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0" w:name="footnote text"/>
    <w:lsdException w:qFormat="1" w:uiPriority="99"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34" w:semiHidden="0" w:name="List Paragraph"/>
    <w:lsdException w:qFormat="1" w:unhideWhenUsed="0" w:uiPriority="0" w:semiHidden="0" w:name="Quote"/>
  </w:latentStyles>
  <w:style w:type="paragraph" w:default="1" w:styleId="1">
    <w:name w:val="Normal"/>
    <w:qFormat/>
    <w:uiPriority w:val="0"/>
    <w:rPr>
      <w:rFonts w:ascii="Ecofont_Spranq_eco_Sans" w:hAnsi="Ecofont_Spranq_eco_Sans" w:cs="Tahoma" w:eastAsiaTheme="minorEastAsia"/>
      <w:sz w:val="24"/>
      <w:szCs w:val="24"/>
      <w:lang w:val="pt-BR" w:eastAsia="pt-BR" w:bidi="ar-SA"/>
    </w:rPr>
  </w:style>
  <w:style w:type="paragraph" w:styleId="2">
    <w:name w:val="heading 1"/>
    <w:basedOn w:val="1"/>
    <w:next w:val="1"/>
    <w:link w:val="41"/>
    <w:qFormat/>
    <w:uiPriority w:val="0"/>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24"/>
    <w:qFormat/>
    <w:uiPriority w:val="0"/>
    <w:pPr>
      <w:keepNext/>
      <w:tabs>
        <w:tab w:val="left" w:pos="1701"/>
      </w:tabs>
      <w:ind w:right="-1"/>
      <w:jc w:val="center"/>
      <w:outlineLvl w:val="1"/>
    </w:pPr>
    <w:rPr>
      <w:rFonts w:ascii="Times New Roman" w:hAnsi="Times New Roman" w:cs="Times New Roman"/>
      <w:b/>
      <w:color w:val="000000"/>
      <w:szCs w:val="20"/>
    </w:rPr>
  </w:style>
  <w:style w:type="paragraph" w:styleId="4">
    <w:name w:val="heading 4"/>
    <w:basedOn w:val="1"/>
    <w:next w:val="1"/>
    <w:link w:val="36"/>
    <w:semiHidden/>
    <w:unhideWhenUsed/>
    <w:qFormat/>
    <w:uiPriority w:val="0"/>
    <w:pPr>
      <w:keepNext/>
      <w:keepLines/>
      <w:spacing w:before="40"/>
      <w:outlineLvl w:val="3"/>
    </w:pPr>
    <w:rPr>
      <w:rFonts w:asciiTheme="majorHAnsi" w:hAnsiTheme="majorHAnsi" w:eastAsiaTheme="majorEastAsia" w:cstheme="majorBidi"/>
      <w:i/>
      <w:iCs/>
      <w:color w:val="376092" w:themeColor="accent1" w:themeShade="BF"/>
    </w:rPr>
  </w:style>
  <w:style w:type="character" w:default="1" w:styleId="15">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50"/>
    <w:unhideWhenUsed/>
    <w:qFormat/>
    <w:uiPriority w:val="99"/>
    <w:pPr>
      <w:spacing w:before="100" w:beforeAutospacing="1" w:after="100" w:afterAutospacing="1"/>
    </w:pPr>
    <w:rPr>
      <w:rFonts w:ascii="Times New Roman" w:hAnsi="Times New Roman" w:eastAsia="Times New Roman" w:cs="Times New Roman"/>
    </w:rPr>
  </w:style>
  <w:style w:type="paragraph" w:styleId="6">
    <w:name w:val="annotation text"/>
    <w:basedOn w:val="1"/>
    <w:link w:val="34"/>
    <w:unhideWhenUsed/>
    <w:qFormat/>
    <w:uiPriority w:val="99"/>
    <w:rPr>
      <w:sz w:val="20"/>
      <w:szCs w:val="20"/>
    </w:rPr>
  </w:style>
  <w:style w:type="paragraph" w:styleId="7">
    <w:name w:val="Title"/>
    <w:basedOn w:val="1"/>
    <w:next w:val="1"/>
    <w:link w:val="39"/>
    <w:qFormat/>
    <w:uiPriority w:val="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paragraph" w:styleId="8">
    <w:name w:val="List Bullet 5"/>
    <w:basedOn w:val="1"/>
    <w:qFormat/>
    <w:uiPriority w:val="0"/>
    <w:pPr>
      <w:numPr>
        <w:ilvl w:val="0"/>
        <w:numId w:val="1"/>
      </w:numPr>
      <w:contextualSpacing/>
    </w:pPr>
  </w:style>
  <w:style w:type="paragraph" w:styleId="9">
    <w:name w:val="Normal (Web)"/>
    <w:basedOn w:val="1"/>
    <w:qFormat/>
    <w:uiPriority w:val="99"/>
    <w:pPr>
      <w:spacing w:before="100" w:beforeAutospacing="1" w:after="100" w:afterAutospacing="1"/>
    </w:pPr>
    <w:rPr>
      <w:rFonts w:ascii="Times New Roman" w:hAnsi="Times New Roman" w:cs="Times New Roman"/>
    </w:rPr>
  </w:style>
  <w:style w:type="paragraph" w:styleId="10">
    <w:name w:val="header"/>
    <w:basedOn w:val="1"/>
    <w:link w:val="32"/>
    <w:qFormat/>
    <w:uiPriority w:val="0"/>
    <w:pPr>
      <w:tabs>
        <w:tab w:val="center" w:pos="4252"/>
        <w:tab w:val="right" w:pos="8504"/>
      </w:tabs>
    </w:pPr>
  </w:style>
  <w:style w:type="paragraph" w:styleId="11">
    <w:name w:val="annotation subject"/>
    <w:basedOn w:val="6"/>
    <w:next w:val="6"/>
    <w:link w:val="35"/>
    <w:semiHidden/>
    <w:unhideWhenUsed/>
    <w:qFormat/>
    <w:uiPriority w:val="0"/>
    <w:rPr>
      <w:b/>
      <w:bCs/>
    </w:rPr>
  </w:style>
  <w:style w:type="paragraph" w:styleId="12">
    <w:name w:val="footer"/>
    <w:basedOn w:val="1"/>
    <w:link w:val="33"/>
    <w:qFormat/>
    <w:uiPriority w:val="99"/>
    <w:pPr>
      <w:tabs>
        <w:tab w:val="center" w:pos="4252"/>
        <w:tab w:val="right" w:pos="8504"/>
      </w:tabs>
    </w:pPr>
  </w:style>
  <w:style w:type="paragraph" w:styleId="13">
    <w:name w:val="Balloon Text"/>
    <w:basedOn w:val="1"/>
    <w:link w:val="23"/>
    <w:qFormat/>
    <w:uiPriority w:val="0"/>
    <w:rPr>
      <w:rFonts w:ascii="Tahoma" w:hAnsi="Tahoma"/>
      <w:sz w:val="16"/>
      <w:szCs w:val="16"/>
    </w:rPr>
  </w:style>
  <w:style w:type="paragraph" w:styleId="14">
    <w:name w:val="footnote text"/>
    <w:basedOn w:val="1"/>
    <w:semiHidden/>
    <w:unhideWhenUsed/>
    <w:qFormat/>
    <w:uiPriority w:val="0"/>
    <w:pPr>
      <w:snapToGrid w:val="0"/>
      <w:jc w:val="left"/>
    </w:pPr>
    <w:rPr>
      <w:sz w:val="18"/>
      <w:szCs w:val="18"/>
    </w:rPr>
  </w:style>
  <w:style w:type="character" w:styleId="16">
    <w:name w:val="annotation reference"/>
    <w:basedOn w:val="15"/>
    <w:unhideWhenUsed/>
    <w:qFormat/>
    <w:uiPriority w:val="99"/>
    <w:rPr>
      <w:sz w:val="16"/>
      <w:szCs w:val="16"/>
    </w:rPr>
  </w:style>
  <w:style w:type="character" w:styleId="17">
    <w:name w:val="Emphasis"/>
    <w:basedOn w:val="15"/>
    <w:qFormat/>
    <w:uiPriority w:val="0"/>
    <w:rPr>
      <w:i/>
      <w:iCs/>
    </w:rPr>
  </w:style>
  <w:style w:type="character" w:styleId="18">
    <w:name w:val="footnote reference"/>
    <w:basedOn w:val="15"/>
    <w:semiHidden/>
    <w:unhideWhenUsed/>
    <w:qFormat/>
    <w:uiPriority w:val="0"/>
    <w:rPr>
      <w:vertAlign w:val="superscript"/>
    </w:rPr>
  </w:style>
  <w:style w:type="character" w:styleId="19">
    <w:name w:val="Hyperlink"/>
    <w:qFormat/>
    <w:uiPriority w:val="0"/>
    <w:rPr>
      <w:color w:val="000080"/>
      <w:u w:val="single"/>
    </w:rPr>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2">
    <w:name w:val="List Paragraph"/>
    <w:basedOn w:val="1"/>
    <w:qFormat/>
    <w:uiPriority w:val="34"/>
    <w:pPr>
      <w:ind w:left="720"/>
      <w:contextualSpacing/>
    </w:pPr>
  </w:style>
  <w:style w:type="character" w:customStyle="1" w:styleId="23">
    <w:name w:val="Texto de balão Char"/>
    <w:link w:val="13"/>
    <w:qFormat/>
    <w:uiPriority w:val="0"/>
    <w:rPr>
      <w:rFonts w:ascii="Tahoma" w:hAnsi="Tahoma" w:cs="Tahoma"/>
      <w:sz w:val="16"/>
      <w:szCs w:val="16"/>
    </w:rPr>
  </w:style>
  <w:style w:type="character" w:customStyle="1" w:styleId="24">
    <w:name w:val="Título 2 Char"/>
    <w:link w:val="3"/>
    <w:qFormat/>
    <w:uiPriority w:val="0"/>
    <w:rPr>
      <w:b/>
      <w:color w:val="000000"/>
      <w:sz w:val="24"/>
    </w:rPr>
  </w:style>
  <w:style w:type="paragraph" w:customStyle="1" w:styleId="25">
    <w:name w:val="Nível 2"/>
    <w:basedOn w:val="1"/>
    <w:next w:val="1"/>
    <w:qFormat/>
    <w:uiPriority w:val="0"/>
    <w:pPr>
      <w:spacing w:after="120"/>
      <w:jc w:val="both"/>
    </w:pPr>
    <w:rPr>
      <w:rFonts w:ascii="Arial" w:hAnsi="Arial" w:cs="Times New Roman"/>
      <w:b/>
      <w:szCs w:val="20"/>
    </w:rPr>
  </w:style>
  <w:style w:type="character" w:customStyle="1" w:styleId="26">
    <w:name w:val="normal__char1"/>
    <w:qFormat/>
    <w:uiPriority w:val="0"/>
    <w:rPr>
      <w:rFonts w:hint="default" w:ascii="Arial" w:hAnsi="Arial" w:cs="Arial"/>
      <w:sz w:val="24"/>
      <w:szCs w:val="24"/>
      <w:u w:val="none"/>
    </w:rPr>
  </w:style>
  <w:style w:type="character" w:customStyle="1" w:styleId="27">
    <w:name w:val="apple-style-span"/>
    <w:basedOn w:val="15"/>
    <w:uiPriority w:val="0"/>
  </w:style>
  <w:style w:type="paragraph" w:styleId="28">
    <w:name w:val="Quote"/>
    <w:basedOn w:val="1"/>
    <w:next w:val="1"/>
    <w:link w:val="29"/>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i/>
      <w:iCs/>
      <w:color w:val="000000"/>
      <w:sz w:val="20"/>
      <w:lang w:eastAsia="en-US"/>
    </w:rPr>
  </w:style>
  <w:style w:type="character" w:customStyle="1" w:styleId="29">
    <w:name w:val="Citação Char"/>
    <w:link w:val="28"/>
    <w:qFormat/>
    <w:uiPriority w:val="0"/>
    <w:rPr>
      <w:rFonts w:ascii="Arial" w:hAnsi="Arial" w:eastAsia="Calibri" w:cs="Tahoma"/>
      <w:i/>
      <w:iCs/>
      <w:color w:val="000000"/>
      <w:szCs w:val="24"/>
      <w:shd w:val="clear" w:color="auto" w:fill="FFFFCC"/>
    </w:rPr>
  </w:style>
  <w:style w:type="paragraph" w:customStyle="1" w:styleId="30">
    <w:name w:val="citação 2"/>
    <w:basedOn w:val="28"/>
    <w:link w:val="31"/>
    <w:qFormat/>
    <w:uiPriority w:val="0"/>
    <w:rPr>
      <w:szCs w:val="20"/>
    </w:rPr>
  </w:style>
  <w:style w:type="character" w:customStyle="1" w:styleId="31">
    <w:name w:val="citação 2 Char"/>
    <w:basedOn w:val="29"/>
    <w:link w:val="30"/>
    <w:qFormat/>
    <w:uiPriority w:val="0"/>
    <w:rPr>
      <w:rFonts w:ascii="Ecofont_Spranq_eco_Sans" w:hAnsi="Ecofont_Spranq_eco_Sans" w:eastAsia="Calibri" w:cs="Tahoma"/>
      <w:color w:val="000000"/>
      <w:szCs w:val="24"/>
      <w:shd w:val="clear" w:color="auto" w:fill="FFFFCC"/>
      <w:lang w:eastAsia="en-US"/>
    </w:rPr>
  </w:style>
  <w:style w:type="character" w:customStyle="1" w:styleId="32">
    <w:name w:val="Cabeçalho Char"/>
    <w:link w:val="10"/>
    <w:uiPriority w:val="0"/>
    <w:rPr>
      <w:rFonts w:ascii="Ecofont_Spranq_eco_Sans" w:hAnsi="Ecofont_Spranq_eco_Sans" w:cs="Tahoma"/>
      <w:sz w:val="24"/>
      <w:szCs w:val="24"/>
    </w:rPr>
  </w:style>
  <w:style w:type="character" w:customStyle="1" w:styleId="33">
    <w:name w:val="Rodapé Char"/>
    <w:link w:val="12"/>
    <w:qFormat/>
    <w:uiPriority w:val="99"/>
    <w:rPr>
      <w:rFonts w:ascii="Ecofont_Spranq_eco_Sans" w:hAnsi="Ecofont_Spranq_eco_Sans" w:cs="Tahoma"/>
      <w:sz w:val="24"/>
      <w:szCs w:val="24"/>
    </w:rPr>
  </w:style>
  <w:style w:type="character" w:customStyle="1" w:styleId="34">
    <w:name w:val="Texto de comentário Char"/>
    <w:basedOn w:val="15"/>
    <w:link w:val="6"/>
    <w:qFormat/>
    <w:uiPriority w:val="99"/>
    <w:rPr>
      <w:rFonts w:ascii="Ecofont_Spranq_eco_Sans" w:hAnsi="Ecofont_Spranq_eco_Sans" w:cs="Tahoma"/>
      <w:lang w:eastAsia="pt-BR"/>
    </w:rPr>
  </w:style>
  <w:style w:type="character" w:customStyle="1" w:styleId="35">
    <w:name w:val="Assunto do comentário Char"/>
    <w:basedOn w:val="34"/>
    <w:link w:val="11"/>
    <w:semiHidden/>
    <w:qFormat/>
    <w:uiPriority w:val="0"/>
    <w:rPr>
      <w:rFonts w:ascii="Ecofont_Spranq_eco_Sans" w:hAnsi="Ecofont_Spranq_eco_Sans" w:cs="Tahoma"/>
      <w:b/>
      <w:bCs/>
      <w:lang w:eastAsia="pt-BR"/>
    </w:rPr>
  </w:style>
  <w:style w:type="character" w:customStyle="1" w:styleId="36">
    <w:name w:val="Título 4 Char"/>
    <w:basedOn w:val="15"/>
    <w:link w:val="4"/>
    <w:qFormat/>
    <w:uiPriority w:val="0"/>
    <w:rPr>
      <w:rFonts w:asciiTheme="majorHAnsi" w:hAnsiTheme="majorHAnsi" w:eastAsiaTheme="majorEastAsia" w:cstheme="majorBidi"/>
      <w:i/>
      <w:iCs/>
      <w:color w:val="376092" w:themeColor="accent1" w:themeShade="BF"/>
      <w:sz w:val="24"/>
      <w:szCs w:val="24"/>
      <w:lang w:eastAsia="pt-BR"/>
    </w:rPr>
  </w:style>
  <w:style w:type="paragraph" w:customStyle="1" w:styleId="37">
    <w:name w:val="Nivel 01"/>
    <w:basedOn w:val="2"/>
    <w:next w:val="1"/>
    <w:link w:val="40"/>
    <w:qFormat/>
    <w:uiPriority w:val="0"/>
    <w:pPr>
      <w:numPr>
        <w:ilvl w:val="0"/>
        <w:numId w:val="2"/>
      </w:numPr>
      <w:tabs>
        <w:tab w:val="left" w:pos="567"/>
      </w:tabs>
      <w:spacing w:before="240"/>
      <w:jc w:val="both"/>
    </w:pPr>
    <w:rPr>
      <w:rFonts w:ascii="Ecofont_Spranq_eco_Sans" w:hAnsi="Ecofont_Spranq_eco_Sans" w:cs="Times New Roman"/>
      <w:color w:val="000000"/>
      <w:sz w:val="20"/>
      <w:szCs w:val="20"/>
    </w:rPr>
  </w:style>
  <w:style w:type="paragraph" w:customStyle="1" w:styleId="38">
    <w:name w:val="Nivel_01_Titulo"/>
    <w:basedOn w:val="37"/>
    <w:link w:val="42"/>
    <w:qFormat/>
    <w:uiPriority w:val="0"/>
    <w:pPr>
      <w:jc w:val="left"/>
    </w:pPr>
    <w:rPr>
      <w:rFonts w:cstheme="majorBidi"/>
      <w:color w:val="000000" w:themeColor="text1"/>
      <w:spacing w:val="5"/>
      <w:kern w:val="28"/>
      <w:sz w:val="52"/>
      <w:szCs w:val="52"/>
      <w14:textFill>
        <w14:solidFill>
          <w14:schemeClr w14:val="tx1"/>
        </w14:solidFill>
      </w14:textFill>
    </w:rPr>
  </w:style>
  <w:style w:type="character" w:customStyle="1" w:styleId="39">
    <w:name w:val="Título Char"/>
    <w:basedOn w:val="15"/>
    <w:link w:val="7"/>
    <w:qFormat/>
    <w:uiPriority w:val="0"/>
    <w:rPr>
      <w:rFonts w:asciiTheme="majorHAnsi" w:hAnsiTheme="majorHAnsi" w:eastAsiaTheme="majorEastAsia" w:cstheme="majorBidi"/>
      <w:color w:val="17375E" w:themeColor="text2" w:themeShade="BF"/>
      <w:spacing w:val="5"/>
      <w:kern w:val="28"/>
      <w:sz w:val="52"/>
      <w:szCs w:val="52"/>
      <w:lang w:eastAsia="pt-BR"/>
    </w:rPr>
  </w:style>
  <w:style w:type="character" w:customStyle="1" w:styleId="40">
    <w:name w:val="Nivel 01 Char"/>
    <w:basedOn w:val="39"/>
    <w:link w:val="37"/>
    <w:qFormat/>
    <w:uiPriority w:val="0"/>
    <w:rPr>
      <w:rFonts w:ascii="Ecofont_Spranq_eco_Sans" w:hAnsi="Ecofont_Spranq_eco_Sans" w:eastAsiaTheme="majorEastAsia" w:cstheme="majorBidi"/>
      <w:b/>
      <w:bCs/>
      <w:color w:val="000000"/>
      <w:spacing w:val="5"/>
      <w:kern w:val="28"/>
      <w:sz w:val="52"/>
      <w:szCs w:val="52"/>
      <w:lang w:eastAsia="pt-BR"/>
    </w:rPr>
  </w:style>
  <w:style w:type="character" w:customStyle="1" w:styleId="41">
    <w:name w:val="Título 1 Char"/>
    <w:basedOn w:val="15"/>
    <w:link w:val="2"/>
    <w:qFormat/>
    <w:uiPriority w:val="0"/>
    <w:rPr>
      <w:rFonts w:asciiTheme="majorHAnsi" w:hAnsiTheme="majorHAnsi" w:eastAsiaTheme="majorEastAsia" w:cstheme="majorBidi"/>
      <w:b/>
      <w:bCs/>
      <w:color w:val="376092" w:themeColor="accent1" w:themeShade="BF"/>
      <w:sz w:val="28"/>
      <w:szCs w:val="28"/>
      <w:lang w:eastAsia="pt-BR"/>
    </w:rPr>
  </w:style>
  <w:style w:type="character" w:customStyle="1" w:styleId="42">
    <w:name w:val="Nivel_01_Titulo Char"/>
    <w:basedOn w:val="40"/>
    <w:link w:val="38"/>
    <w:qFormat/>
    <w:uiPriority w:val="0"/>
    <w:rPr>
      <w:rFonts w:ascii="Ecofont_Spranq_eco_Sans" w:hAnsi="Ecofont_Spranq_eco_Sans" w:eastAsiaTheme="majorEastAsia" w:cstheme="majorBidi"/>
      <w:color w:val="000000" w:themeColor="text1"/>
      <w:spacing w:val="5"/>
      <w:kern w:val="28"/>
      <w:sz w:val="52"/>
      <w:szCs w:val="52"/>
      <w:lang w:eastAsia="pt-BR"/>
      <w14:textFill>
        <w14:solidFill>
          <w14:schemeClr w14:val="tx1"/>
        </w14:solidFill>
      </w14:textFill>
    </w:rPr>
  </w:style>
  <w:style w:type="paragraph" w:customStyle="1" w:styleId="43">
    <w:name w:val="PADRÃO"/>
    <w:qFormat/>
    <w:uiPriority w:val="0"/>
    <w:pPr>
      <w:keepNext/>
      <w:widowControl w:val="0"/>
      <w:shd w:val="clear" w:color="auto" w:fill="FFFFFF"/>
      <w:spacing w:before="119" w:after="119" w:line="276" w:lineRule="auto"/>
      <w:ind w:firstLine="567"/>
      <w:jc w:val="both"/>
      <w:textAlignment w:val="baseline"/>
    </w:pPr>
    <w:rPr>
      <w:rFonts w:ascii="Ecofont_Spranq_eco_Sans" w:hAnsi="Ecofont_Spranq_eco_Sans" w:eastAsia="WenQuanYi Micro Hei" w:cs="Lohit Hindi"/>
      <w:szCs w:val="24"/>
      <w:lang w:val="pt-BR" w:eastAsia="zh-CN" w:bidi="hi-IN"/>
    </w:rPr>
  </w:style>
  <w:style w:type="character" w:customStyle="1" w:styleId="44">
    <w:name w:val="Quote Char"/>
    <w:basedOn w:val="15"/>
    <w:link w:val="45"/>
    <w:qFormat/>
    <w:uiPriority w:val="0"/>
    <w:rPr>
      <w:rFonts w:ascii="Ecofont_Spranq_eco_Sans" w:hAnsi="Ecofont_Spranq_eco_Sans" w:eastAsia="Calibri" w:cs="Tahoma"/>
      <w:i/>
      <w:iCs/>
      <w:color w:val="000000"/>
      <w:shd w:val="clear" w:color="auto" w:fill="FFFFCC"/>
    </w:rPr>
  </w:style>
  <w:style w:type="paragraph" w:customStyle="1" w:styleId="45">
    <w:name w:val="Citação1"/>
    <w:basedOn w:val="1"/>
    <w:next w:val="1"/>
    <w:link w:val="44"/>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sz w:val="20"/>
      <w:szCs w:val="20"/>
      <w:lang w:eastAsia="en-US"/>
    </w:rPr>
  </w:style>
  <w:style w:type="paragraph" w:customStyle="1" w:styleId="46">
    <w:name w:val="paragraph"/>
    <w:basedOn w:val="1"/>
    <w:qFormat/>
    <w:uiPriority w:val="0"/>
    <w:pPr>
      <w:spacing w:before="100" w:beforeAutospacing="1" w:after="100" w:afterAutospacing="1"/>
    </w:pPr>
    <w:rPr>
      <w:rFonts w:ascii="Times New Roman" w:hAnsi="Times New Roman" w:eastAsia="Times New Roman" w:cs="Times New Roman"/>
    </w:rPr>
  </w:style>
  <w:style w:type="character" w:customStyle="1" w:styleId="47">
    <w:name w:val="normaltextrun"/>
    <w:basedOn w:val="15"/>
    <w:qFormat/>
    <w:uiPriority w:val="0"/>
  </w:style>
  <w:style w:type="character" w:customStyle="1" w:styleId="48">
    <w:name w:val="eop"/>
    <w:basedOn w:val="15"/>
    <w:qFormat/>
    <w:uiPriority w:val="0"/>
  </w:style>
  <w:style w:type="character" w:customStyle="1" w:styleId="49">
    <w:name w:val="spellingerror"/>
    <w:basedOn w:val="15"/>
    <w:qFormat/>
    <w:uiPriority w:val="0"/>
  </w:style>
  <w:style w:type="character" w:customStyle="1" w:styleId="50">
    <w:name w:val="Corpo de texto Char"/>
    <w:basedOn w:val="15"/>
    <w:link w:val="5"/>
    <w:qFormat/>
    <w:uiPriority w:val="99"/>
    <w:rPr>
      <w:rFonts w:eastAsia="Times New Roman"/>
      <w:sz w:val="24"/>
      <w:szCs w:val="24"/>
      <w:lang w:eastAsia="pt-BR"/>
    </w:rPr>
  </w:style>
  <w:style w:type="paragraph" w:customStyle="1" w:styleId="51">
    <w:name w:val="Nivel1"/>
    <w:basedOn w:val="2"/>
    <w:link w:val="52"/>
    <w:qFormat/>
    <w:uiPriority w:val="0"/>
    <w:pPr>
      <w:spacing w:line="276" w:lineRule="auto"/>
      <w:ind w:left="357" w:hanging="357"/>
      <w:jc w:val="both"/>
    </w:pPr>
    <w:rPr>
      <w:rFonts w:ascii="Arial" w:hAnsi="Arial" w:cs="Arial"/>
      <w:bCs w:val="0"/>
      <w:color w:val="000000"/>
    </w:rPr>
  </w:style>
  <w:style w:type="character" w:customStyle="1" w:styleId="52">
    <w:name w:val="Nivel1 Char"/>
    <w:basedOn w:val="41"/>
    <w:link w:val="51"/>
    <w:qFormat/>
    <w:uiPriority w:val="0"/>
    <w:rPr>
      <w:rFonts w:ascii="Arial" w:hAnsi="Arial" w:cs="Arial" w:eastAsiaTheme="majorEastAsia"/>
      <w:bCs w:val="0"/>
      <w:color w:val="000000"/>
      <w:sz w:val="28"/>
      <w:szCs w:val="28"/>
      <w:lang w:eastAsia="pt-BR"/>
    </w:rPr>
  </w:style>
  <w:style w:type="paragraph" w:customStyle="1" w:styleId="53">
    <w:name w:val="Parágrafo da Lista1"/>
    <w:basedOn w:val="1"/>
    <w:qFormat/>
    <w:uiPriority w:val="0"/>
    <w:pPr>
      <w:ind w:left="720"/>
    </w:pPr>
    <w:rPr>
      <w:rFonts w:eastAsia="Times New Roman" w:cs="Ecofont_Spranq_eco_Sans"/>
    </w:rPr>
  </w:style>
  <w:style w:type="paragraph" w:customStyle="1" w:styleId="54">
    <w:name w:val="Nivel 2"/>
    <w:qFormat/>
    <w:uiPriority w:val="0"/>
    <w:pPr>
      <w:numPr>
        <w:ilvl w:val="1"/>
        <w:numId w:val="3"/>
      </w:numPr>
      <w:spacing w:before="120" w:after="120" w:line="276" w:lineRule="auto"/>
      <w:jc w:val="both"/>
    </w:pPr>
    <w:rPr>
      <w:rFonts w:ascii="Ecofont_Spranq_eco_Sans" w:hAnsi="Ecofont_Spranq_eco_Sans" w:eastAsia="Arial Unicode MS" w:cs="Times New Roman"/>
      <w:lang w:val="pt-BR" w:eastAsia="pt-BR" w:bidi="ar-SA"/>
    </w:rPr>
  </w:style>
  <w:style w:type="paragraph" w:customStyle="1" w:styleId="55">
    <w:name w:val="Nivel 1"/>
    <w:basedOn w:val="54"/>
    <w:next w:val="54"/>
    <w:qFormat/>
    <w:uiPriority w:val="0"/>
    <w:pPr>
      <w:numPr>
        <w:ilvl w:val="0"/>
      </w:numPr>
    </w:pPr>
    <w:rPr>
      <w:rFonts w:cs="Arial"/>
      <w:b/>
    </w:rPr>
  </w:style>
  <w:style w:type="paragraph" w:customStyle="1" w:styleId="56">
    <w:name w:val="Nivel 3"/>
    <w:basedOn w:val="54"/>
    <w:qFormat/>
    <w:uiPriority w:val="0"/>
    <w:pPr>
      <w:numPr>
        <w:ilvl w:val="2"/>
      </w:numPr>
    </w:pPr>
    <w:rPr>
      <w:rFonts w:cs="Arial"/>
      <w:color w:val="000000"/>
    </w:rPr>
  </w:style>
  <w:style w:type="paragraph" w:customStyle="1" w:styleId="57">
    <w:name w:val="Nivel 4"/>
    <w:basedOn w:val="56"/>
    <w:link w:val="59"/>
    <w:qFormat/>
    <w:uiPriority w:val="0"/>
    <w:pPr>
      <w:numPr>
        <w:ilvl w:val="3"/>
      </w:numPr>
    </w:pPr>
    <w:rPr>
      <w:color w:val="auto"/>
    </w:rPr>
  </w:style>
  <w:style w:type="paragraph" w:customStyle="1" w:styleId="58">
    <w:name w:val="Nivel 5"/>
    <w:basedOn w:val="57"/>
    <w:qFormat/>
    <w:uiPriority w:val="0"/>
    <w:pPr>
      <w:numPr>
        <w:ilvl w:val="4"/>
      </w:numPr>
      <w:ind w:left="3348" w:hanging="1080"/>
    </w:pPr>
  </w:style>
  <w:style w:type="character" w:customStyle="1" w:styleId="59">
    <w:name w:val="Nivel 4 Char"/>
    <w:basedOn w:val="15"/>
    <w:link w:val="57"/>
    <w:qFormat/>
    <w:uiPriority w:val="0"/>
    <w:rPr>
      <w:rFonts w:ascii="Ecofont_Spranq_eco_Sans" w:hAnsi="Ecofont_Spranq_eco_Sans" w:eastAsia="Arial Unicode MS" w:cs="Arial"/>
      <w:lang w:eastAsia="pt-BR"/>
    </w:rPr>
  </w:style>
  <w:style w:type="paragraph" w:customStyle="1" w:styleId="60">
    <w:name w:val="textbody"/>
    <w:basedOn w:val="1"/>
    <w:qFormat/>
    <w:uiPriority w:val="0"/>
    <w:pPr>
      <w:spacing w:before="100" w:beforeAutospacing="1" w:after="100" w:afterAutospacing="1"/>
    </w:pPr>
    <w:rPr>
      <w:rFonts w:ascii="Times New Roman" w:hAnsi="Times New Roman" w:eastAsia="Times New Roman" w:cs="Times New Roman"/>
    </w:rPr>
  </w:style>
  <w:style w:type="paragraph" w:customStyle="1" w:styleId="61">
    <w:name w:val="Standard"/>
    <w:qFormat/>
    <w:uiPriority w:val="0"/>
    <w:pPr>
      <w:widowControl w:val="0"/>
      <w:suppressAutoHyphens/>
      <w:textAlignment w:val="baseline"/>
    </w:pPr>
    <w:rPr>
      <w:rFonts w:ascii="Times New Roman" w:hAnsi="Times New Roman" w:eastAsia="SimSun" w:cs="Mangal"/>
      <w:kern w:val="2"/>
      <w:sz w:val="24"/>
      <w:lang w:val="pt-BR" w:eastAsia="en-US" w:bidi="ar-SA"/>
    </w:rPr>
  </w:style>
  <w:style w:type="character" w:customStyle="1" w:styleId="62">
    <w:name w:val="Link da Internet"/>
    <w:basedOn w:val="15"/>
    <w:qFormat/>
    <w:uiPriority w:val="0"/>
    <w:rPr>
      <w:color w:val="000080"/>
      <w:u w:val="single"/>
    </w:rPr>
  </w:style>
  <w:style w:type="paragraph" w:customStyle="1" w:styleId="63">
    <w:name w:val="Rodapé1"/>
    <w:basedOn w:val="1"/>
    <w:qFormat/>
    <w:uiPriority w:val="99"/>
    <w:pPr>
      <w:suppressLineNumbers/>
      <w:tabs>
        <w:tab w:val="center" w:pos="4252"/>
        <w:tab w:val="right" w:pos="8504"/>
      </w:tabs>
    </w:pPr>
  </w:style>
  <w:style w:type="paragraph" w:customStyle="1" w:styleId="64">
    <w:name w:val="Cabeçalho1"/>
    <w:basedOn w:val="1"/>
    <w:qFormat/>
    <w:uiPriority w:val="0"/>
    <w:pPr>
      <w:tabs>
        <w:tab w:val="center" w:pos="4252"/>
        <w:tab w:val="right" w:pos="8504"/>
      </w:tabs>
    </w:pPr>
    <w:rPr>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0F92E1A-68B5-465C-9D7D-17CE3BC8586D}">
  <ds:schemaRefs/>
</ds:datastoreItem>
</file>

<file path=customXml/itemProps3.xml><?xml version="1.0" encoding="utf-8"?>
<ds:datastoreItem xmlns:ds="http://schemas.openxmlformats.org/officeDocument/2006/customXml" ds:itemID="{0CBD3A4D-46FC-4C9D-A646-0B0B22B0418A}">
  <ds:schemaRefs/>
</ds:datastoreItem>
</file>

<file path=customXml/itemProps4.xml><?xml version="1.0" encoding="utf-8"?>
<ds:datastoreItem xmlns:ds="http://schemas.openxmlformats.org/officeDocument/2006/customXml" ds:itemID="{2A8026C8-13C9-446B-B0AD-FCFED6FC2978}">
  <ds:schemaRefs/>
</ds:datastoreItem>
</file>

<file path=customXml/itemProps5.xml><?xml version="1.0" encoding="utf-8"?>
<ds:datastoreItem xmlns:ds="http://schemas.openxmlformats.org/officeDocument/2006/customXml" ds:itemID="{7C541C99-BA1C-408F-8BE9-FD886FF1D685}">
  <ds:schemaRefs/>
</ds:datastoreItem>
</file>

<file path=docProps/app.xml><?xml version="1.0" encoding="utf-8"?>
<Properties xmlns="http://schemas.openxmlformats.org/officeDocument/2006/extended-properties" xmlns:vt="http://schemas.openxmlformats.org/officeDocument/2006/docPropsVTypes">
  <Template>modelo de modelo de minuta</Template>
  <Company>AGU</Company>
  <Pages>34</Pages>
  <Words>16692</Words>
  <Characters>90139</Characters>
  <Lines>751</Lines>
  <Paragraphs>213</Paragraphs>
  <TotalTime>5</TotalTime>
  <ScaleCrop>false</ScaleCrop>
  <LinksUpToDate>false</LinksUpToDate>
  <CharactersWithSpaces>106618</CharactersWithSpaces>
  <Application>WPS Office_11.2.0.9739_F1E327BC-269C-435d-A152-05C5408002CA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2020-05-22T19:57:00Z</dcterms:created>
  <dc:creator>Manoel Paz</dc:creator>
  <cp:lastModifiedBy>IFPB</cp:lastModifiedBy>
  <cp:lastPrinted>2019-10-10T16:52:00Z</cp:lastPrinted>
  <dcterms:modified xsi:type="dcterms:W3CDTF">2020-11-12T16:08:56Z</dcterms:modified>
  <dc:title>Edital Pregão Compras - Ampla Participação</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KSOProductBuildVer">
    <vt:lpwstr>1046-11.2.0.9739</vt:lpwstr>
  </property>
</Properties>
</file>